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1</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R1-22</w:t>
      </w:r>
      <w:r>
        <w:rPr>
          <w:rFonts w:hint="eastAsia" w:ascii="Arial" w:hAnsi="Arial" w:cs="Arial"/>
          <w:b/>
          <w:bCs/>
          <w:sz w:val="22"/>
          <w:szCs w:val="22"/>
        </w:rPr>
        <w:t>11906</w:t>
      </w:r>
    </w:p>
    <w:p>
      <w:pPr>
        <w:spacing w:before="120" w:after="120"/>
        <w:rPr>
          <w:szCs w:val="21"/>
        </w:rPr>
      </w:pPr>
      <w:r>
        <w:rPr>
          <w:rFonts w:hint="eastAsia" w:ascii="Arial" w:hAnsi="Arial" w:cs="Arial"/>
          <w:b/>
          <w:bCs/>
          <w:sz w:val="22"/>
          <w:szCs w:val="22"/>
        </w:rPr>
        <w:t>Toulouse, France</w:t>
      </w:r>
      <w:r>
        <w:rPr>
          <w:rFonts w:ascii="Arial" w:hAnsi="Arial" w:cs="Arial"/>
          <w:b/>
          <w:bCs/>
          <w:sz w:val="22"/>
          <w:szCs w:val="22"/>
          <w:lang w:eastAsia="ja-JP"/>
        </w:rPr>
        <w:t xml:space="preserve">, </w:t>
      </w:r>
      <w:r>
        <w:rPr>
          <w:rFonts w:hint="eastAsia" w:ascii="Arial" w:hAnsi="Arial" w:cs="Arial"/>
          <w:b/>
          <w:bCs/>
          <w:sz w:val="24"/>
          <w:szCs w:val="24"/>
        </w:rPr>
        <w:t>Nov</w:t>
      </w:r>
      <w:r>
        <w:rPr>
          <w:rFonts w:ascii="Arial" w:hAnsi="Arial" w:cs="Arial"/>
          <w:b/>
          <w:bCs/>
          <w:sz w:val="24"/>
          <w:szCs w:val="24"/>
        </w:rPr>
        <w:t>.</w:t>
      </w:r>
      <w:r>
        <w:rPr>
          <w:rFonts w:ascii="Arial" w:hAnsi="Arial" w:eastAsia="MS Mincho" w:cs="Arial"/>
          <w:b/>
          <w:bCs/>
          <w:sz w:val="24"/>
          <w:szCs w:val="24"/>
        </w:rPr>
        <w:t xml:space="preserve"> </w:t>
      </w:r>
      <w:r>
        <w:rPr>
          <w:rFonts w:ascii="Arial" w:hAnsi="Arial" w:cs="Arial"/>
          <w:b/>
          <w:bCs/>
          <w:sz w:val="24"/>
          <w:szCs w:val="24"/>
        </w:rPr>
        <w:t>1</w:t>
      </w:r>
      <w:r>
        <w:rPr>
          <w:rFonts w:hint="eastAsia" w:ascii="Arial" w:hAnsi="Arial" w:cs="Arial"/>
          <w:b/>
          <w:bCs/>
          <w:sz w:val="24"/>
          <w:szCs w:val="24"/>
        </w:rPr>
        <w:t>4</w:t>
      </w:r>
      <w:r>
        <w:rPr>
          <w:rFonts w:ascii="Arial" w:hAnsi="Arial" w:eastAsia="MS Mincho" w:cs="Arial"/>
          <w:b/>
          <w:bCs/>
          <w:sz w:val="24"/>
          <w:szCs w:val="24"/>
          <w:vertAlign w:val="superscript"/>
        </w:rPr>
        <w:t>th</w:t>
      </w:r>
      <w:r>
        <w:rPr>
          <w:rFonts w:ascii="Arial" w:hAnsi="Arial" w:eastAsia="MS Mincho" w:cs="Arial"/>
          <w:b/>
          <w:bCs/>
          <w:sz w:val="24"/>
          <w:szCs w:val="24"/>
        </w:rPr>
        <w:t xml:space="preserve"> – 1</w:t>
      </w:r>
      <w:r>
        <w:rPr>
          <w:rFonts w:hint="eastAsia" w:ascii="Arial" w:hAnsi="Arial" w:cs="Arial"/>
          <w:b/>
          <w:bCs/>
          <w:sz w:val="24"/>
          <w:szCs w:val="24"/>
        </w:rPr>
        <w:t>8</w:t>
      </w:r>
      <w:r>
        <w:rPr>
          <w:rFonts w:ascii="Arial" w:hAnsi="Arial" w:eastAsia="MS Mincho" w:cs="Arial"/>
          <w:b/>
          <w:bCs/>
          <w:sz w:val="24"/>
          <w:szCs w:val="24"/>
          <w:vertAlign w:val="superscript"/>
        </w:rPr>
        <w:t>th</w:t>
      </w:r>
      <w:r>
        <w:rPr>
          <w:rFonts w:ascii="Arial" w:hAnsi="Arial" w:cs="Arial"/>
          <w:b/>
          <w:bCs/>
          <w:sz w:val="22"/>
          <w:szCs w:val="22"/>
          <w:lang w:eastAsia="ja-JP"/>
        </w:rPr>
        <w:t>, 2022</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XR</w:t>
      </w:r>
      <w:r>
        <w:rPr>
          <w:rFonts w:hint="eastAsia" w:ascii="Arial" w:hAnsi="Arial"/>
          <w:b/>
          <w:sz w:val="22"/>
          <w:szCs w:val="22"/>
        </w:rPr>
        <w:t xml:space="preserve"> s</w:t>
      </w:r>
      <w:r>
        <w:rPr>
          <w:rFonts w:ascii="Arial" w:hAnsi="Arial"/>
          <w:b/>
          <w:sz w:val="22"/>
          <w:szCs w:val="22"/>
        </w:rPr>
        <w:t>pecific capacity enhancements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w:t>
      </w:r>
      <w:r>
        <w:rPr>
          <w:rFonts w:ascii="Arial" w:hAnsi="Arial"/>
          <w:b/>
          <w:sz w:val="22"/>
          <w:szCs w:val="22"/>
        </w:rPr>
        <w:t>0</w:t>
      </w:r>
      <w:r>
        <w:rPr>
          <w:rFonts w:hint="eastAsia" w:ascii="Arial" w:hAnsi="Arial"/>
          <w:b/>
          <w:sz w:val="22"/>
          <w:szCs w:val="22"/>
        </w:rPr>
        <w:t>.2</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In RAN1#110b</w:t>
      </w:r>
      <w:r>
        <w:rPr>
          <w:szCs w:val="21"/>
        </w:rPr>
        <w:t>i</w:t>
      </w:r>
      <w:r>
        <w:rPr>
          <w:rFonts w:hint="eastAsia"/>
          <w:szCs w:val="21"/>
        </w:rPr>
        <w:t xml:space="preserve">s-e meeting, the </w:t>
      </w:r>
      <w:r>
        <w:rPr>
          <w:szCs w:val="21"/>
        </w:rPr>
        <w:t xml:space="preserve">study scope of </w:t>
      </w:r>
      <w:r>
        <w:rPr>
          <w:rFonts w:hint="eastAsia"/>
          <w:szCs w:val="21"/>
        </w:rPr>
        <w:t>candidate capacity enhancement techniques for XR traffic based</w:t>
      </w:r>
      <w:r>
        <w:rPr>
          <w:szCs w:val="21"/>
        </w:rPr>
        <w:t xml:space="preserve"> on</w:t>
      </w:r>
      <w:r>
        <w:rPr>
          <w:rFonts w:hint="eastAsia"/>
          <w:szCs w:val="21"/>
        </w:rPr>
        <w:t xml:space="preserve"> CG has been agreed as follows [1]</w:t>
      </w:r>
      <w:r>
        <w:rPr>
          <w:szCs w:val="21"/>
        </w:rPr>
        <w:t>:</w:t>
      </w:r>
      <w:r>
        <w:rPr>
          <w:rFonts w:hint="eastAsia"/>
          <w:szCs w:val="21"/>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rPr>
                <w:szCs w:val="21"/>
                <w:highlight w:val="green"/>
              </w:rPr>
            </w:pPr>
            <w:r>
              <w:rPr>
                <w:rFonts w:hint="eastAsia"/>
                <w:szCs w:val="21"/>
                <w:highlight w:val="green"/>
              </w:rPr>
              <w:t>Agreement</w:t>
            </w:r>
          </w:p>
          <w:p>
            <w:pPr>
              <w:widowControl w:val="0"/>
              <w:spacing w:before="120" w:after="120"/>
              <w:rPr>
                <w:szCs w:val="21"/>
              </w:rPr>
            </w:pPr>
            <w:r>
              <w:rPr>
                <w:rFonts w:hint="eastAsia"/>
                <w:szCs w:val="21"/>
              </w:rPr>
              <w:t>To study whether/how the enhanced CG candidate techniques are necessary and beneficial for improving XR capacity, focus at least on the following techniques:</w:t>
            </w:r>
          </w:p>
          <w:p>
            <w:pPr>
              <w:widowControl w:val="0"/>
              <w:numPr>
                <w:ilvl w:val="0"/>
                <w:numId w:val="5"/>
              </w:numPr>
              <w:spacing w:before="120" w:after="120"/>
              <w:ind w:left="205" w:hanging="205"/>
              <w:rPr>
                <w:szCs w:val="21"/>
              </w:rPr>
            </w:pPr>
            <w:r>
              <w:rPr>
                <w:rFonts w:hint="eastAsia"/>
                <w:szCs w:val="21"/>
              </w:rPr>
              <w:t>Dynamic indication of the unused CG PUSCH occasion(s) or resource(s) by the UE</w:t>
            </w:r>
          </w:p>
          <w:p>
            <w:pPr>
              <w:widowControl w:val="0"/>
              <w:numPr>
                <w:ilvl w:val="0"/>
                <w:numId w:val="5"/>
              </w:numPr>
              <w:spacing w:before="120" w:after="120"/>
              <w:ind w:left="205" w:hanging="205"/>
              <w:rPr>
                <w:szCs w:val="21"/>
              </w:rPr>
            </w:pPr>
            <w:r>
              <w:rPr>
                <w:rFonts w:hint="eastAsia"/>
                <w:szCs w:val="21"/>
              </w:rPr>
              <w:t xml:space="preserve">Increase CG PUSCH transmission occasions in a duration </w:t>
            </w:r>
          </w:p>
        </w:tc>
      </w:tr>
    </w:tbl>
    <w:p>
      <w:pPr>
        <w:spacing w:before="120" w:after="120"/>
        <w:rPr>
          <w:strike/>
          <w:szCs w:val="21"/>
        </w:rPr>
      </w:pPr>
      <w:r>
        <w:rPr>
          <w:rFonts w:hint="eastAsia"/>
          <w:szCs w:val="21"/>
        </w:rPr>
        <w:t xml:space="preserve">In this paper, we present the evaluation results of </w:t>
      </w:r>
      <w:r>
        <w:rPr>
          <w:szCs w:val="21"/>
        </w:rPr>
        <w:t xml:space="preserve">following </w:t>
      </w:r>
      <w:r>
        <w:rPr>
          <w:rFonts w:hint="eastAsia"/>
          <w:szCs w:val="21"/>
        </w:rPr>
        <w:t>candidate capacity enhancement technique</w:t>
      </w:r>
      <w:r>
        <w:rPr>
          <w:szCs w:val="21"/>
        </w:rPr>
        <w:t>s:</w:t>
      </w:r>
      <w:r>
        <w:rPr>
          <w:rFonts w:hint="eastAsia"/>
          <w:szCs w:val="21"/>
        </w:rPr>
        <w:t xml:space="preserve"> multiple CG PUSCH transmission occasions in a duration with unused resource release. Moreover, the evaluation results of other candidate capacity enhancement techniques, including e.g., BSR enhancement are summarized.</w:t>
      </w:r>
    </w:p>
    <w:p>
      <w:pPr>
        <w:pStyle w:val="2"/>
        <w:spacing w:before="120" w:after="120"/>
        <w:ind w:left="0"/>
      </w:pPr>
      <w:r>
        <w:rPr>
          <w:rFonts w:hint="eastAsia" w:eastAsia="宋体"/>
        </w:rPr>
        <w:t xml:space="preserve">Discussion on </w:t>
      </w:r>
      <w:r>
        <w:rPr>
          <w:rFonts w:eastAsia="宋体"/>
        </w:rPr>
        <w:t xml:space="preserve">uplink </w:t>
      </w:r>
      <w:r>
        <w:rPr>
          <w:rFonts w:hint="eastAsia" w:eastAsia="宋体"/>
        </w:rPr>
        <w:t>CG enhancement</w:t>
      </w:r>
    </w:p>
    <w:p>
      <w:pPr>
        <w:pStyle w:val="3"/>
        <w:spacing w:before="120" w:after="120"/>
        <w:ind w:left="991" w:right="210" w:hanging="991" w:hangingChars="354"/>
      </w:pPr>
      <w:r>
        <w:rPr>
          <w:rFonts w:eastAsia="宋体"/>
        </w:rPr>
        <w:t>CG transmission for XR traffic</w:t>
      </w:r>
    </w:p>
    <w:p>
      <w:pPr>
        <w:spacing w:before="120" w:after="120"/>
      </w:pPr>
      <w:r>
        <w:rPr>
          <w:rFonts w:hint="eastAsia"/>
        </w:rPr>
        <w:t>CG mechanism</w:t>
      </w:r>
      <w:r>
        <w:t xml:space="preserve"> in NR is adopted to support </w:t>
      </w:r>
      <w:r>
        <w:rPr>
          <w:rFonts w:hint="eastAsia"/>
        </w:rPr>
        <w:t>URLLC service</w:t>
      </w:r>
      <w:r>
        <w:t>s</w:t>
      </w:r>
      <w:r>
        <w:rPr>
          <w:rFonts w:hint="eastAsia"/>
        </w:rPr>
        <w:t xml:space="preserve">. </w:t>
      </w:r>
      <w:r>
        <w:rPr>
          <w:bCs/>
        </w:rPr>
        <w:t>The key reasons are that</w:t>
      </w:r>
      <w:r>
        <w:rPr>
          <w:rFonts w:hint="eastAsia"/>
        </w:rPr>
        <w:t xml:space="preserve"> CG transmission is capable of reducing overhead of </w:t>
      </w:r>
      <w:r>
        <w:t>PDCCH, more importantly, extra</w:t>
      </w:r>
      <w:r>
        <w:rPr>
          <w:rFonts w:hint="eastAsia"/>
        </w:rPr>
        <w:t xml:space="preserve"> latency </w:t>
      </w:r>
      <w:r>
        <w:t xml:space="preserve">is </w:t>
      </w:r>
      <w:r>
        <w:rPr>
          <w:rFonts w:hint="eastAsia"/>
        </w:rPr>
        <w:t xml:space="preserve">caused by </w:t>
      </w:r>
      <w:r>
        <w:t xml:space="preserve">both </w:t>
      </w:r>
      <w:r>
        <w:rPr>
          <w:rFonts w:hint="eastAsia"/>
        </w:rPr>
        <w:t>SR</w:t>
      </w:r>
      <w:r>
        <w:t xml:space="preserve"> transmission and </w:t>
      </w:r>
      <w:r>
        <w:rPr>
          <w:rFonts w:hint="eastAsia"/>
        </w:rPr>
        <w:t>BSR</w:t>
      </w:r>
      <w:r>
        <w:t xml:space="preserve"> </w:t>
      </w:r>
      <w:r>
        <w:rPr>
          <w:rFonts w:hint="eastAsia"/>
        </w:rPr>
        <w:t xml:space="preserve">procedure. </w:t>
      </w:r>
    </w:p>
    <w:p>
      <w:pPr>
        <w:spacing w:before="120" w:after="120"/>
      </w:pPr>
      <w:r>
        <w:t xml:space="preserve">Then </w:t>
      </w:r>
      <w:r>
        <w:rPr>
          <w:rFonts w:hint="eastAsia"/>
        </w:rPr>
        <w:t>for XR services which require low latency</w:t>
      </w:r>
      <w:r>
        <w:t xml:space="preserve"> (e.g. 10ms,15ms,30ms), the CG-based solutions were considered and evaluated to meet the requirement</w:t>
      </w:r>
      <w:r>
        <w:rPr>
          <w:rFonts w:hint="eastAsia"/>
        </w:rPr>
        <w:t xml:space="preserve">. On the other hand, </w:t>
      </w:r>
      <w:r>
        <w:t>when</w:t>
      </w:r>
      <w:r>
        <w:rPr>
          <w:rFonts w:hint="eastAsia"/>
        </w:rPr>
        <w:t xml:space="preserve"> </w:t>
      </w:r>
      <w:r>
        <w:t xml:space="preserve">conserved </w:t>
      </w:r>
      <w:r>
        <w:rPr>
          <w:rFonts w:hint="eastAsia"/>
        </w:rPr>
        <w:t xml:space="preserve">dynamic grant with SR-BSR-PUSCH procedure </w:t>
      </w:r>
      <w:r>
        <w:t>was</w:t>
      </w:r>
      <w:r>
        <w:rPr>
          <w:rFonts w:hint="eastAsia"/>
        </w:rPr>
        <w:t xml:space="preserve"> adopted, a lot of packets transmission </w:t>
      </w:r>
      <w:r>
        <w:t>might</w:t>
      </w:r>
      <w:r>
        <w:rPr>
          <w:rFonts w:hint="eastAsia"/>
        </w:rPr>
        <w:t xml:space="preserve"> exceed PDB and therefore got dropped, which would deteriorate the performance seriously.</w:t>
      </w:r>
    </w:p>
    <w:p>
      <w:pPr>
        <w:spacing w:before="120" w:after="120"/>
      </w:pPr>
      <w:r>
        <w:rPr>
          <w:rFonts w:hint="eastAsia"/>
        </w:rPr>
        <w:t>I</w:t>
      </w:r>
      <w:r>
        <w:t xml:space="preserve">n the case of </w:t>
      </w:r>
      <w:r>
        <w:rPr>
          <w:rFonts w:hint="eastAsia"/>
        </w:rPr>
        <w:t xml:space="preserve">Pose/Control traffic model </w:t>
      </w:r>
      <w:r>
        <w:t>transmission</w:t>
      </w:r>
      <w:r>
        <w:rPr>
          <w:rFonts w:hint="eastAsia"/>
        </w:rPr>
        <w:t xml:space="preserve">, since </w:t>
      </w:r>
      <w:r>
        <w:t xml:space="preserve">the packets arrival is periodic and the packet size is constant, </w:t>
      </w:r>
      <w:r>
        <w:rPr>
          <w:rFonts w:hint="eastAsia"/>
        </w:rPr>
        <w:t xml:space="preserve">CG </w:t>
      </w:r>
      <w:r>
        <w:t>mechanism</w:t>
      </w:r>
      <w:r>
        <w:rPr>
          <w:rFonts w:hint="eastAsia"/>
        </w:rPr>
        <w:t xml:space="preserve"> </w:t>
      </w:r>
      <w:r>
        <w:t>can be applied directly</w:t>
      </w:r>
      <w:r>
        <w:rPr>
          <w:rFonts w:hint="eastAsia"/>
        </w:rPr>
        <w:t xml:space="preserve"> without any enhancements</w:t>
      </w:r>
      <w:r>
        <w:t>.</w:t>
      </w:r>
      <w:r>
        <w:rPr>
          <w:rFonts w:hint="eastAsia"/>
        </w:rPr>
        <w:t xml:space="preserve"> </w:t>
      </w:r>
    </w:p>
    <w:p>
      <w:pPr>
        <w:pStyle w:val="51"/>
        <w:spacing w:before="120" w:after="120"/>
        <w:jc w:val="both"/>
      </w:pPr>
      <w:r>
        <w:rPr>
          <w:rFonts w:hint="eastAsia"/>
        </w:rPr>
        <w:t xml:space="preserve"> </w:t>
      </w:r>
      <w:bookmarkStart w:id="0" w:name="_Toc15083"/>
      <w:r>
        <w:rPr>
          <w:rFonts w:hint="eastAsia"/>
          <w:lang w:val="en-US" w:eastAsia="zh-CN"/>
        </w:rPr>
        <w:t>T</w:t>
      </w:r>
      <w:r>
        <w:t xml:space="preserve">he </w:t>
      </w:r>
      <w:r>
        <w:rPr>
          <w:rFonts w:hint="eastAsia"/>
          <w:lang w:val="en-US" w:eastAsia="zh-CN"/>
        </w:rPr>
        <w:t xml:space="preserve">Pose/Control </w:t>
      </w:r>
      <w:r>
        <w:t>packets arrival is periodic and the packet size is constant, thus</w:t>
      </w:r>
      <w:r>
        <w:rPr>
          <w:rFonts w:hint="eastAsia"/>
          <w:lang w:val="en-US" w:eastAsia="zh-CN"/>
        </w:rPr>
        <w:t xml:space="preserve"> CG is suitable for Pose/Control traffic tr</w:t>
      </w:r>
      <w:r>
        <w:rPr>
          <w:lang w:val="en-US" w:eastAsia="zh-CN"/>
        </w:rPr>
        <w:t>ansmissions</w:t>
      </w:r>
      <w:r>
        <w:rPr>
          <w:rFonts w:hint="eastAsia"/>
          <w:lang w:val="en-US" w:eastAsia="zh-CN"/>
        </w:rPr>
        <w:t>.</w:t>
      </w:r>
      <w:bookmarkEnd w:id="0"/>
    </w:p>
    <w:p>
      <w:pPr>
        <w:spacing w:before="120" w:after="120"/>
      </w:pPr>
      <w:r>
        <w:t>F</w:t>
      </w:r>
      <w:r>
        <w:rPr>
          <w:rFonts w:hint="eastAsia"/>
        </w:rPr>
        <w:t xml:space="preserve">or AR video traffic model, i.e., AR aggregating scene/video/data/audio, </w:t>
      </w:r>
      <w:r>
        <w:t xml:space="preserve">which is </w:t>
      </w:r>
      <w:r>
        <w:rPr>
          <w:rFonts w:hint="eastAsia"/>
        </w:rPr>
        <w:t>characterized by large and various packet size</w:t>
      </w:r>
      <w:r>
        <w:t>.</w:t>
      </w:r>
      <w:r>
        <w:rPr>
          <w:rFonts w:hint="eastAsia"/>
        </w:rPr>
        <w:t xml:space="preserve"> </w:t>
      </w:r>
      <w:r>
        <w:t xml:space="preserve">In this case, one solution is to use </w:t>
      </w:r>
      <w:r>
        <w:rPr>
          <w:rFonts w:hint="eastAsia"/>
        </w:rPr>
        <w:t xml:space="preserve">uplink dynamic grant </w:t>
      </w:r>
      <w:r>
        <w:t xml:space="preserve">for flexible resource scheduling. However, more time would be needed for transmitting the large packet for a UE. Thus DG </w:t>
      </w:r>
      <w:r>
        <w:rPr>
          <w:rFonts w:hint="eastAsia"/>
        </w:rPr>
        <w:t xml:space="preserve">would encounter performance penalty, due to the procedure of SR-BSR-PUSCH transmission, especially in the scenario of more stringent latency requirement.  </w:t>
      </w:r>
    </w:p>
    <w:p>
      <w:pPr>
        <w:pStyle w:val="51"/>
        <w:spacing w:before="120" w:after="120"/>
        <w:jc w:val="both"/>
      </w:pPr>
      <w:bookmarkStart w:id="1" w:name="_Toc10253"/>
      <w:r>
        <w:rPr>
          <w:rFonts w:hint="eastAsia"/>
        </w:rPr>
        <w:t>For AR video traffic model, uplink dynamic grant</w:t>
      </w:r>
      <w:r>
        <w:t xml:space="preserve"> would</w:t>
      </w:r>
      <w:r>
        <w:rPr>
          <w:rFonts w:hint="eastAsia"/>
        </w:rPr>
        <w:t xml:space="preserve"> </w:t>
      </w:r>
      <w:r>
        <w:rPr>
          <w:rFonts w:hint="eastAsia"/>
          <w:lang w:val="en-US" w:eastAsia="zh-CN"/>
        </w:rPr>
        <w:t xml:space="preserve">confront </w:t>
      </w:r>
      <w:r>
        <w:rPr>
          <w:rFonts w:hint="eastAsia"/>
        </w:rPr>
        <w:t>performance penalty especially in the scenario of stringent latency requirement</w:t>
      </w:r>
      <w:r>
        <w:rPr>
          <w:rFonts w:hint="eastAsia"/>
          <w:lang w:val="en-US" w:eastAsia="zh-CN"/>
        </w:rPr>
        <w:t>.</w:t>
      </w:r>
      <w:bookmarkEnd w:id="1"/>
    </w:p>
    <w:p>
      <w:pPr>
        <w:spacing w:before="120" w:after="120"/>
      </w:pPr>
      <w:r>
        <w:t>On the other hand, configuring</w:t>
      </w:r>
      <w:r>
        <w:rPr>
          <w:rFonts w:hint="eastAsia"/>
        </w:rPr>
        <w:t xml:space="preserve"> multiple CG PUSCHs transmission occasion(s) in a duration </w:t>
      </w:r>
      <w:r>
        <w:t xml:space="preserve">is studied </w:t>
      </w:r>
      <w:r>
        <w:rPr>
          <w:rFonts w:hint="eastAsia"/>
        </w:rPr>
        <w:t>for transmitting AR UL video traffic</w:t>
      </w:r>
      <w:r>
        <w:t>.</w:t>
      </w:r>
      <w:r>
        <w:rPr>
          <w:rFonts w:hint="eastAsia"/>
        </w:rPr>
        <w:t xml:space="preserve"> </w:t>
      </w:r>
      <w:r>
        <w:t>D</w:t>
      </w:r>
      <w:r>
        <w:rPr>
          <w:rFonts w:hint="eastAsia"/>
        </w:rPr>
        <w:t>ue to the packet variability</w:t>
      </w:r>
      <w:r>
        <w:t>, the flexibility of using CG resources should be taken into account</w:t>
      </w:r>
      <w:r>
        <w:rPr>
          <w:rFonts w:hint="eastAsia"/>
        </w:rPr>
        <w:t xml:space="preserve">. </w:t>
      </w:r>
      <w:r>
        <w:t xml:space="preserve">Basically Type-2 CG can configure/re-initiate the resource allocation, moreover, UE can skip the unused resources, and inform the information to gNB(this is consider as an enhancement). </w:t>
      </w:r>
      <w:r>
        <w:rPr>
          <w:rFonts w:hint="eastAsia"/>
        </w:rPr>
        <w:t xml:space="preserve">When gNB is aware of the unused resource, the resource can be released and recycled for other users or other traffic. To this end, </w:t>
      </w:r>
      <w:r>
        <w:t xml:space="preserve">the solution of </w:t>
      </w:r>
      <w:r>
        <w:rPr>
          <w:rFonts w:hint="eastAsia"/>
        </w:rPr>
        <w:t>unused resource release/recycling is proposed</w:t>
      </w:r>
      <w:r>
        <w:t xml:space="preserve"> for handling the problem of flexibility of resources usage </w:t>
      </w:r>
      <w:r>
        <w:rPr>
          <w:rFonts w:hint="eastAsia"/>
        </w:rPr>
        <w:t>for UE</w:t>
      </w:r>
      <w:r>
        <w:t>.</w:t>
      </w:r>
    </w:p>
    <w:p>
      <w:pPr>
        <w:pStyle w:val="51"/>
        <w:spacing w:before="120" w:after="120"/>
        <w:jc w:val="both"/>
        <w:rPr>
          <w:rFonts w:eastAsia="宋体"/>
          <w:lang w:val="en-US" w:eastAsia="zh-CN"/>
        </w:rPr>
      </w:pPr>
      <w:bookmarkStart w:id="2" w:name="_Toc11480"/>
      <w:r>
        <w:rPr>
          <w:rFonts w:hint="eastAsia"/>
          <w:lang w:val="en-US" w:eastAsia="zh-CN"/>
        </w:rPr>
        <w:t>T</w:t>
      </w:r>
      <w:r>
        <w:t>he resource allocation</w:t>
      </w:r>
      <w:r>
        <w:rPr>
          <w:rFonts w:hint="eastAsia"/>
          <w:lang w:val="en-US" w:eastAsia="zh-CN"/>
        </w:rPr>
        <w:t xml:space="preserve"> can be configured/re-initialized for legacy type 2 CG</w:t>
      </w:r>
      <w:r>
        <w:t>, in the meanwhile</w:t>
      </w:r>
      <w:r>
        <w:rPr>
          <w:rFonts w:hint="eastAsia"/>
          <w:lang w:val="en-US" w:eastAsia="zh-CN"/>
        </w:rPr>
        <w:t xml:space="preserve"> </w:t>
      </w:r>
      <w:r>
        <w:rPr>
          <w:lang w:val="en-US" w:eastAsia="zh-CN"/>
        </w:rPr>
        <w:t>u</w:t>
      </w:r>
      <w:r>
        <w:rPr>
          <w:rFonts w:hint="eastAsia"/>
          <w:lang w:val="en-US" w:eastAsia="zh-CN"/>
        </w:rPr>
        <w:t>nused resource release can be considered to solve</w:t>
      </w:r>
      <w:r>
        <w:rPr>
          <w:lang w:val="en-US" w:eastAsia="zh-CN"/>
        </w:rPr>
        <w:t xml:space="preserve"> the problem of </w:t>
      </w:r>
      <w:r>
        <w:rPr>
          <w:rFonts w:hint="eastAsia"/>
          <w:lang w:val="en-US" w:eastAsia="zh-CN"/>
        </w:rPr>
        <w:t>low efficiency</w:t>
      </w:r>
      <w:r>
        <w:rPr>
          <w:lang w:val="en-US" w:eastAsia="zh-CN"/>
        </w:rPr>
        <w:t xml:space="preserve"> of resource usage for UE</w:t>
      </w:r>
      <w:r>
        <w:rPr>
          <w:rFonts w:hint="eastAsia"/>
          <w:lang w:val="en-US" w:eastAsia="zh-CN"/>
        </w:rPr>
        <w:t>.</w:t>
      </w:r>
      <w:bookmarkEnd w:id="2"/>
      <w:r>
        <w:rPr>
          <w:rFonts w:hint="eastAsia"/>
          <w:lang w:val="en-US" w:eastAsia="zh-CN"/>
        </w:rPr>
        <w:t xml:space="preserve">   </w:t>
      </w:r>
    </w:p>
    <w:p>
      <w:pPr>
        <w:pStyle w:val="51"/>
        <w:numPr>
          <w:ilvl w:val="0"/>
          <w:numId w:val="0"/>
        </w:numPr>
        <w:spacing w:before="120" w:after="120"/>
        <w:jc w:val="both"/>
        <w:rPr>
          <w:rFonts w:eastAsia="宋体"/>
          <w:lang w:val="en-US" w:eastAsia="zh-CN"/>
        </w:rPr>
      </w:pPr>
    </w:p>
    <w:p>
      <w:pPr>
        <w:pStyle w:val="3"/>
        <w:spacing w:before="120" w:after="120"/>
        <w:ind w:left="991" w:right="210" w:hanging="991" w:hangingChars="354"/>
      </w:pPr>
      <w:r>
        <w:rPr>
          <w:rFonts w:hint="eastAsia"/>
        </w:rPr>
        <w:t>Potential XR-specific CG enhancement</w:t>
      </w:r>
    </w:p>
    <w:p>
      <w:pPr>
        <w:pStyle w:val="4"/>
        <w:spacing w:after="120"/>
        <w:ind w:right="210"/>
      </w:pPr>
      <w:r>
        <w:rPr>
          <w:rFonts w:hint="eastAsia"/>
          <w:szCs w:val="21"/>
        </w:rPr>
        <w:t>Increase CG PUSCH transmission occasions in a duration</w:t>
      </w:r>
      <w:r>
        <w:rPr>
          <w:rFonts w:hint="eastAsia" w:eastAsia="宋体"/>
        </w:rPr>
        <w:t xml:space="preserve"> </w:t>
      </w:r>
    </w:p>
    <w:p>
      <w:pPr>
        <w:spacing w:before="120" w:after="120"/>
      </w:pPr>
      <w:r>
        <w:t>As to CG, although it’s beneficial from</w:t>
      </w:r>
      <w:r>
        <w:rPr>
          <w:rFonts w:hint="eastAsia"/>
        </w:rPr>
        <w:t xml:space="preserve"> undo</w:t>
      </w:r>
      <w:r>
        <w:t>ing</w:t>
      </w:r>
      <w:r>
        <w:rPr>
          <w:rFonts w:hint="eastAsia"/>
        </w:rPr>
        <w:t xml:space="preserve"> the procedure of SR-BSR-PUSCH, </w:t>
      </w:r>
      <w:r>
        <w:t xml:space="preserve">the problem is </w:t>
      </w:r>
      <w:r>
        <w:rPr>
          <w:rFonts w:hint="eastAsia"/>
        </w:rPr>
        <w:t xml:space="preserve">CG PUSCH resource </w:t>
      </w:r>
      <w:r>
        <w:t>may</w:t>
      </w:r>
      <w:r>
        <w:rPr>
          <w:rFonts w:hint="eastAsia"/>
        </w:rPr>
        <w:t xml:space="preserve"> not </w:t>
      </w:r>
      <w:r>
        <w:t xml:space="preserve">be </w:t>
      </w:r>
      <w:r>
        <w:rPr>
          <w:rFonts w:hint="eastAsia"/>
        </w:rPr>
        <w:t xml:space="preserve">able to transmit the whole packet. To this end, multiple CG PUSCH transmission occasions in a duration is considered </w:t>
      </w:r>
      <w:r>
        <w:t>to</w:t>
      </w:r>
      <w:r>
        <w:rPr>
          <w:rFonts w:hint="eastAsia"/>
        </w:rPr>
        <w:t xml:space="preserve"> transmit the XR packet. </w:t>
      </w:r>
      <w:r>
        <w:t xml:space="preserve">For example, </w:t>
      </w:r>
      <w:r>
        <w:rPr>
          <w:rFonts w:hint="eastAsia"/>
        </w:rPr>
        <w:t xml:space="preserve">multiple CG PUSCH transmission occasions </w:t>
      </w:r>
      <w:r>
        <w:t xml:space="preserve">in a </w:t>
      </w:r>
      <w:r>
        <w:rPr>
          <w:rFonts w:hint="eastAsia"/>
        </w:rPr>
        <w:t>duration</w:t>
      </w:r>
      <w:r>
        <w:t xml:space="preserve"> are pre-configured, when a packet arrives, UE can transmit the packet in these occasions directly.</w:t>
      </w:r>
    </w:p>
    <w:p>
      <w:pPr>
        <w:pStyle w:val="51"/>
        <w:spacing w:before="120" w:after="120"/>
        <w:jc w:val="both"/>
      </w:pPr>
      <w:bookmarkStart w:id="3" w:name="_Toc25233"/>
      <w:r>
        <w:rPr>
          <w:rFonts w:hint="eastAsia"/>
          <w:szCs w:val="21"/>
        </w:rPr>
        <w:t>Increas</w:t>
      </w:r>
      <w:r>
        <w:rPr>
          <w:rFonts w:hint="eastAsia"/>
          <w:szCs w:val="21"/>
          <w:lang w:val="en-US" w:eastAsia="zh-CN"/>
        </w:rPr>
        <w:t>ing</w:t>
      </w:r>
      <w:r>
        <w:rPr>
          <w:rFonts w:hint="eastAsia"/>
          <w:szCs w:val="21"/>
        </w:rPr>
        <w:t xml:space="preserve"> CG PUSCH transmission occasions in a duration</w:t>
      </w:r>
      <w:r>
        <w:rPr>
          <w:rFonts w:hint="eastAsia"/>
          <w:lang w:val="en-US" w:eastAsia="zh-CN"/>
        </w:rPr>
        <w:t xml:space="preserve"> can be considered to deal with the characteristic of large and variable packet size for UL AR video traffic model.</w:t>
      </w:r>
      <w:bookmarkEnd w:id="3"/>
    </w:p>
    <w:p>
      <w:pPr>
        <w:spacing w:before="120" w:after="120"/>
      </w:pPr>
      <w:r>
        <w:rPr>
          <w:rFonts w:hint="eastAsia"/>
        </w:rPr>
        <w:t>According to the email discussion in RAN1#110b</w:t>
      </w:r>
      <w:r>
        <w:t>i</w:t>
      </w:r>
      <w:r>
        <w:rPr>
          <w:rFonts w:hint="eastAsia"/>
        </w:rPr>
        <w:t>s-e meeting, i</w:t>
      </w:r>
      <w:r>
        <w:rPr>
          <w:rFonts w:hint="eastAsia"/>
          <w:szCs w:val="21"/>
        </w:rPr>
        <w:t>ncreased CG PUSCH transmission occasions in a duration</w:t>
      </w:r>
      <w:r>
        <w:rPr>
          <w:rFonts w:hint="eastAsia"/>
        </w:rPr>
        <w:t xml:space="preserve"> can be achieved </w:t>
      </w:r>
      <w:r>
        <w:t xml:space="preserve">by </w:t>
      </w:r>
      <w:r>
        <w:rPr>
          <w:rFonts w:hint="eastAsia"/>
        </w:rPr>
        <w:t>either Alt 1 or Alt 2 as follows:</w:t>
      </w:r>
    </w:p>
    <w:p>
      <w:pPr>
        <w:pStyle w:val="31"/>
        <w:numPr>
          <w:ilvl w:val="0"/>
          <w:numId w:val="6"/>
        </w:numPr>
        <w:spacing w:before="120" w:after="120"/>
        <w:rPr>
          <w:szCs w:val="21"/>
        </w:rPr>
      </w:pPr>
      <w:r>
        <w:rPr>
          <w:sz w:val="21"/>
          <w:szCs w:val="21"/>
        </w:rPr>
        <w:t>Alt 1: single CG configuration with multiple PUSCH occasions per CG period</w:t>
      </w:r>
    </w:p>
    <w:p>
      <w:pPr>
        <w:pStyle w:val="31"/>
        <w:numPr>
          <w:ilvl w:val="0"/>
          <w:numId w:val="6"/>
        </w:numPr>
        <w:spacing w:before="120" w:after="120"/>
        <w:rPr>
          <w:szCs w:val="21"/>
        </w:rPr>
      </w:pPr>
      <w:r>
        <w:rPr>
          <w:sz w:val="21"/>
          <w:szCs w:val="21"/>
        </w:rPr>
        <w:t>Alt 2: single DCI based activation of multiple CG configurations</w:t>
      </w:r>
    </w:p>
    <w:p>
      <w:pPr>
        <w:spacing w:before="120" w:after="120"/>
      </w:pPr>
      <w:r>
        <w:rPr>
          <w:rFonts w:hint="eastAsia"/>
        </w:rPr>
        <w:t>For Alt 1, several parameters should be considered to determine the length of the CG period, location of CG PUSCH</w:t>
      </w:r>
      <w:r>
        <w:t>s</w:t>
      </w:r>
      <w:r>
        <w:rPr>
          <w:rFonts w:hint="eastAsia"/>
        </w:rPr>
        <w:t xml:space="preserve"> in one CG period, and the number of CG PUSCHs in one CG period. </w:t>
      </w:r>
      <w:r>
        <w:t>As depicted in Figure 1, multiple CG PUSCH</w:t>
      </w:r>
      <w:r>
        <w:rPr>
          <w:rFonts w:hint="eastAsia"/>
        </w:rPr>
        <w:t xml:space="preserve"> transmission occasions</w:t>
      </w:r>
      <w:r>
        <w:t xml:space="preserve"> are pre-configured in one CG period.</w:t>
      </w:r>
    </w:p>
    <w:p>
      <w:pPr>
        <w:spacing w:before="120" w:after="120"/>
        <w:jc w:val="center"/>
      </w:pPr>
      <w:r>
        <w:drawing>
          <wp:inline distT="0" distB="0" distL="114300" distR="114300">
            <wp:extent cx="4827270" cy="1184910"/>
            <wp:effectExtent l="0" t="0" r="0" b="15240"/>
            <wp:docPr id="5" name="图片 5" descr="single CG config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ingle CG configuration"/>
                    <pic:cNvPicPr>
                      <a:picLocks noChangeAspect="1"/>
                    </pic:cNvPicPr>
                  </pic:nvPicPr>
                  <pic:blipFill>
                    <a:blip r:embed="rId10"/>
                    <a:stretch>
                      <a:fillRect/>
                    </a:stretch>
                  </pic:blipFill>
                  <pic:spPr>
                    <a:xfrm>
                      <a:off x="0" y="0"/>
                      <a:ext cx="4827270" cy="1184910"/>
                    </a:xfrm>
                    <a:prstGeom prst="rect">
                      <a:avLst/>
                    </a:prstGeom>
                  </pic:spPr>
                </pic:pic>
              </a:graphicData>
            </a:graphic>
          </wp:inline>
        </w:drawing>
      </w:r>
    </w:p>
    <w:p>
      <w:pPr>
        <w:spacing w:before="120" w:after="120"/>
        <w:jc w:val="center"/>
      </w:pPr>
      <w:r>
        <w:rPr>
          <w:rFonts w:hint="eastAsia"/>
        </w:rPr>
        <w:t>Figure 1 Single CG configuration with multiple PUSCH occasions per CG period</w:t>
      </w:r>
    </w:p>
    <w:p>
      <w:pPr>
        <w:spacing w:before="120" w:after="120"/>
      </w:pPr>
      <w:r>
        <w:rPr>
          <w:rFonts w:hint="eastAsia"/>
        </w:rPr>
        <w:t>For Alt 2, a DCI signaling is considered to jointly activate multiple CG configurations, and the association between different CG configurations should also be considered.</w:t>
      </w:r>
    </w:p>
    <w:p>
      <w:pPr>
        <w:spacing w:before="120" w:after="120"/>
        <w:jc w:val="center"/>
      </w:pPr>
      <w:r>
        <w:drawing>
          <wp:inline distT="0" distB="0" distL="114300" distR="114300">
            <wp:extent cx="6049645" cy="2342515"/>
            <wp:effectExtent l="0" t="0" r="0" b="635"/>
            <wp:docPr id="7" name="图片 7" descr="multiple CG configu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ultiple CG configurations"/>
                    <pic:cNvPicPr>
                      <a:picLocks noChangeAspect="1"/>
                    </pic:cNvPicPr>
                  </pic:nvPicPr>
                  <pic:blipFill>
                    <a:blip r:embed="rId11"/>
                    <a:stretch>
                      <a:fillRect/>
                    </a:stretch>
                  </pic:blipFill>
                  <pic:spPr>
                    <a:xfrm>
                      <a:off x="0" y="0"/>
                      <a:ext cx="6049645" cy="2342515"/>
                    </a:xfrm>
                    <a:prstGeom prst="rect">
                      <a:avLst/>
                    </a:prstGeom>
                  </pic:spPr>
                </pic:pic>
              </a:graphicData>
            </a:graphic>
          </wp:inline>
        </w:drawing>
      </w:r>
    </w:p>
    <w:p>
      <w:pPr>
        <w:spacing w:before="120" w:after="120"/>
        <w:jc w:val="center"/>
      </w:pPr>
      <w:r>
        <w:rPr>
          <w:rFonts w:hint="eastAsia"/>
        </w:rPr>
        <w:t>Figure 2 Single DCI based activation of multiple CG configurations.</w:t>
      </w:r>
    </w:p>
    <w:p>
      <w:pPr>
        <w:spacing w:before="120" w:after="120"/>
        <w:rPr>
          <w:highlight w:val="yellow"/>
        </w:rPr>
      </w:pPr>
      <w:r>
        <w:rPr>
          <w:rFonts w:hint="eastAsia"/>
        </w:rPr>
        <w:t xml:space="preserve">Since the increased CG PUSCH transmission occasion(s) in a duration is capable of transmitting the XR packet in time, it can be considered </w:t>
      </w:r>
      <w:r>
        <w:t>as</w:t>
      </w:r>
      <w:r>
        <w:rPr>
          <w:rFonts w:hint="eastAsia"/>
        </w:rPr>
        <w:t xml:space="preserve"> one of candidate techniques in Rel-18 XR WI.</w:t>
      </w:r>
    </w:p>
    <w:p>
      <w:pPr>
        <w:pStyle w:val="54"/>
        <w:spacing w:before="120" w:after="120"/>
        <w:jc w:val="both"/>
        <w:rPr>
          <w:lang w:val="en-US" w:eastAsia="zh-CN"/>
        </w:rPr>
      </w:pPr>
      <w:bookmarkStart w:id="4" w:name="_Toc118728217"/>
      <w:r>
        <w:rPr>
          <w:rFonts w:hint="eastAsia"/>
          <w:lang w:val="en-US" w:eastAsia="zh-CN"/>
        </w:rPr>
        <w:t>Support increased CG PUSCH transmission occasion(s) in a duration in Rel-18 XR WI.</w:t>
      </w:r>
      <w:bookmarkEnd w:id="4"/>
    </w:p>
    <w:p>
      <w:pPr>
        <w:spacing w:before="120" w:after="120"/>
      </w:pPr>
      <w:r>
        <w:rPr>
          <w:rFonts w:hint="eastAsia"/>
        </w:rPr>
        <w:t>Moreover, since th</w:t>
      </w:r>
      <w:r>
        <w:t>is</w:t>
      </w:r>
      <w:r>
        <w:rPr>
          <w:rFonts w:hint="eastAsia"/>
        </w:rPr>
        <w:t xml:space="preserve"> is the last meeting for Rel-18 XR SI, we should focus on drafting TR38.835</w:t>
      </w:r>
      <w:r>
        <w:t xml:space="preserve"> within </w:t>
      </w:r>
      <w:r>
        <w:rPr>
          <w:rFonts w:hint="eastAsia"/>
        </w:rPr>
        <w:t xml:space="preserve">the limited TU. As a result, we suggest that details of Alt 1 and Alt 2 </w:t>
      </w:r>
      <w:r>
        <w:t>should be</w:t>
      </w:r>
      <w:r>
        <w:rPr>
          <w:rFonts w:hint="eastAsia"/>
        </w:rPr>
        <w:t xml:space="preserve"> discussed in Rel-18 XR WI.</w:t>
      </w:r>
    </w:p>
    <w:p>
      <w:pPr>
        <w:pStyle w:val="54"/>
        <w:spacing w:before="120" w:after="120"/>
        <w:jc w:val="both"/>
        <w:rPr>
          <w:lang w:val="en-US" w:eastAsia="zh-CN"/>
        </w:rPr>
      </w:pPr>
      <w:bookmarkStart w:id="5" w:name="_Toc118728218"/>
      <w:r>
        <w:rPr>
          <w:rFonts w:hint="eastAsia"/>
          <w:lang w:val="en-US" w:eastAsia="zh-CN"/>
        </w:rPr>
        <w:t xml:space="preserve">Owing to limited TU, both single CG configuration with multiple PUSCH occasions per CG period (Alt 1) and single DCI based activation of multiple CG configurations (Alt 2) </w:t>
      </w:r>
      <w:r>
        <w:rPr>
          <w:lang w:val="en-US" w:eastAsia="zh-CN"/>
        </w:rPr>
        <w:t>should be</w:t>
      </w:r>
      <w:r>
        <w:rPr>
          <w:rFonts w:hint="eastAsia"/>
          <w:lang w:val="en-US" w:eastAsia="zh-CN"/>
        </w:rPr>
        <w:t xml:space="preserve"> included in Rel-18 XR WI and down-selected late.</w:t>
      </w:r>
      <w:bookmarkEnd w:id="5"/>
    </w:p>
    <w:p>
      <w:pPr>
        <w:spacing w:before="120" w:after="120"/>
      </w:pPr>
      <w:r>
        <w:rPr>
          <w:rFonts w:hint="eastAsia"/>
        </w:rPr>
        <w:t xml:space="preserve">As to the number of pre-configured CG occasion(s) in a period, there are two cases for configuration. </w:t>
      </w:r>
    </w:p>
    <w:p>
      <w:pPr>
        <w:spacing w:before="120" w:after="120"/>
      </w:pPr>
      <w:r>
        <w:rPr>
          <w:rFonts w:hint="eastAsia"/>
        </w:rPr>
        <w:t xml:space="preserve">For one case, if gNB is aware of periodicity of XR traffic and packet statistic information, including e.g., maximum/minimum/mean packet size, the configuration is able to be based on the XR-awareness information. Moreover, the periodicity of CG configuration is able to align with that of periodicity of XR traffic if XR traffic is obtained. </w:t>
      </w:r>
    </w:p>
    <w:p>
      <w:pPr>
        <w:spacing w:before="120" w:after="120"/>
      </w:pPr>
      <w:r>
        <w:rPr>
          <w:rFonts w:hint="eastAsia"/>
        </w:rPr>
        <w:t xml:space="preserve">For another case, if gNB is not aware of the XR-awareness information, gNB needs to configure multiple CG PUSCH transmission occasions in a duration according to the statistic information of previous received packet to cover the range of packet variability as far as it can. In our opinion, there are limited impact </w:t>
      </w:r>
      <w:r>
        <w:t xml:space="preserve">for this case </w:t>
      </w:r>
      <w:r>
        <w:rPr>
          <w:rFonts w:hint="eastAsia"/>
        </w:rPr>
        <w:t>if XR-awareness is not aware of.</w:t>
      </w:r>
    </w:p>
    <w:p>
      <w:pPr>
        <w:pStyle w:val="51"/>
        <w:spacing w:before="120" w:after="120"/>
        <w:jc w:val="both"/>
        <w:rPr>
          <w:lang w:val="en-US" w:eastAsia="zh-CN"/>
        </w:rPr>
      </w:pPr>
      <w:bookmarkStart w:id="6" w:name="_Toc15114"/>
      <w:r>
        <w:rPr>
          <w:rFonts w:hint="eastAsia"/>
          <w:lang w:val="en-US" w:eastAsia="zh-CN"/>
        </w:rPr>
        <w:t>XR-awareness information is helpful for configuration of increased CG PUSCH transmission occasion(s) in a duration</w:t>
      </w:r>
      <w:bookmarkEnd w:id="6"/>
    </w:p>
    <w:p>
      <w:pPr>
        <w:pStyle w:val="4"/>
        <w:spacing w:after="120"/>
        <w:ind w:right="210"/>
      </w:pPr>
      <w:r>
        <w:rPr>
          <w:rFonts w:hint="eastAsia"/>
          <w:szCs w:val="21"/>
        </w:rPr>
        <w:t>Dynamic indication of the unused CG PUSCH occasion(s) or resource(s) by the U</w:t>
      </w:r>
      <w:r>
        <w:rPr>
          <w:rFonts w:hint="eastAsia" w:eastAsia="宋体"/>
          <w:szCs w:val="21"/>
        </w:rPr>
        <w:t>E</w:t>
      </w:r>
    </w:p>
    <w:p>
      <w:pPr>
        <w:spacing w:before="120" w:after="120"/>
      </w:pPr>
      <w:r>
        <w:rPr>
          <w:rFonts w:hint="eastAsia"/>
        </w:rPr>
        <w:t xml:space="preserve">No matter what cases for configuration mentioned before, over-configuration may happen. </w:t>
      </w:r>
      <w:r>
        <w:t>And w</w:t>
      </w:r>
      <w:r>
        <w:rPr>
          <w:rFonts w:hint="eastAsia"/>
        </w:rPr>
        <w:t>hen over configuration happens, there are several unused resources in each period, which causes resource waste and degrade capacity performance.</w:t>
      </w:r>
    </w:p>
    <w:p>
      <w:pPr>
        <w:pStyle w:val="51"/>
        <w:spacing w:before="120" w:after="120"/>
      </w:pPr>
      <w:bookmarkStart w:id="7" w:name="_Toc13023"/>
      <w:r>
        <w:rPr>
          <w:rFonts w:hint="eastAsia"/>
          <w:lang w:val="en-US" w:eastAsia="zh-CN"/>
        </w:rPr>
        <w:t>CG PUSCH transmission occasions may be over-configured in a duration, which causes resource waste and leads to capacity performance loss.</w:t>
      </w:r>
      <w:bookmarkEnd w:id="7"/>
    </w:p>
    <w:p>
      <w:pPr>
        <w:spacing w:before="120" w:after="120"/>
      </w:pPr>
      <w:r>
        <w:rPr>
          <w:rFonts w:hint="eastAsia"/>
        </w:rPr>
        <w:t xml:space="preserve">Therefore, unused resource release mechanism, as mentioned in </w:t>
      </w:r>
      <w:r>
        <w:t xml:space="preserve">section </w:t>
      </w:r>
      <w:r>
        <w:rPr>
          <w:rFonts w:hint="eastAsia"/>
        </w:rPr>
        <w:t xml:space="preserve">2.1, </w:t>
      </w:r>
      <w:r>
        <w:t xml:space="preserve">is proposed in order to assist network to </w:t>
      </w:r>
      <w:r>
        <w:rPr>
          <w:rFonts w:hint="eastAsia"/>
        </w:rPr>
        <w:t xml:space="preserve">save the unused resource and </w:t>
      </w:r>
      <w:r>
        <w:t>improve</w:t>
      </w:r>
      <w:r>
        <w:rPr>
          <w:rFonts w:hint="eastAsia"/>
        </w:rPr>
        <w:t xml:space="preserve"> resource</w:t>
      </w:r>
      <w:r>
        <w:t xml:space="preserve"> usage</w:t>
      </w:r>
      <w:r>
        <w:rPr>
          <w:rFonts w:hint="eastAsia"/>
        </w:rPr>
        <w:t xml:space="preserve"> efficiency</w:t>
      </w:r>
      <w:r>
        <w:t>.</w:t>
      </w:r>
      <w:r>
        <w:rPr>
          <w:rFonts w:hint="eastAsia"/>
        </w:rPr>
        <w:t xml:space="preserve"> </w:t>
      </w:r>
      <w:r>
        <w:t>In this case</w:t>
      </w:r>
      <w:r>
        <w:rPr>
          <w:rFonts w:hint="eastAsia"/>
        </w:rPr>
        <w:t xml:space="preserve">, the redundant CG PUSCHs </w:t>
      </w:r>
      <w:r>
        <w:t xml:space="preserve">can be </w:t>
      </w:r>
      <w:r>
        <w:rPr>
          <w:rFonts w:hint="eastAsia"/>
        </w:rPr>
        <w:t xml:space="preserve">released and </w:t>
      </w:r>
      <w:r>
        <w:t>recycled</w:t>
      </w:r>
      <w:r>
        <w:rPr>
          <w:rFonts w:hint="eastAsia"/>
        </w:rPr>
        <w:t xml:space="preserve"> for other users or other traffic transmission so that the capacity performance can be improved. </w:t>
      </w:r>
    </w:p>
    <w:p>
      <w:pPr>
        <w:spacing w:before="120" w:after="120"/>
        <w:jc w:val="center"/>
      </w:pPr>
      <w:r>
        <w:rPr>
          <w:rFonts w:hint="eastAsia"/>
        </w:rPr>
        <w:drawing>
          <wp:inline distT="0" distB="0" distL="114300" distR="114300">
            <wp:extent cx="4901565" cy="1854200"/>
            <wp:effectExtent l="0" t="0" r="0" b="12700"/>
            <wp:docPr id="16" name="图片 16" descr="Resource Release ind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Resource Release indication"/>
                    <pic:cNvPicPr>
                      <a:picLocks noChangeAspect="1"/>
                    </pic:cNvPicPr>
                  </pic:nvPicPr>
                  <pic:blipFill>
                    <a:blip r:embed="rId12"/>
                    <a:stretch>
                      <a:fillRect/>
                    </a:stretch>
                  </pic:blipFill>
                  <pic:spPr>
                    <a:xfrm>
                      <a:off x="0" y="0"/>
                      <a:ext cx="4901565" cy="1854200"/>
                    </a:xfrm>
                    <a:prstGeom prst="rect">
                      <a:avLst/>
                    </a:prstGeom>
                  </pic:spPr>
                </pic:pic>
              </a:graphicData>
            </a:graphic>
          </wp:inline>
        </w:drawing>
      </w:r>
    </w:p>
    <w:p>
      <w:pPr>
        <w:spacing w:before="120" w:after="120"/>
        <w:jc w:val="center"/>
      </w:pPr>
      <w:r>
        <w:rPr>
          <w:rFonts w:hint="eastAsia"/>
        </w:rPr>
        <w:t>Figure 3 Unused resource release indication</w:t>
      </w:r>
    </w:p>
    <w:p>
      <w:pPr>
        <w:spacing w:before="120" w:after="120"/>
      </w:pPr>
      <w:r>
        <w:t>For example, as shown i</w:t>
      </w:r>
      <w:r>
        <w:rPr>
          <w:rFonts w:hint="eastAsia"/>
        </w:rPr>
        <w:t>n Figure 3, UE estimates that the 1</w:t>
      </w:r>
      <w:r>
        <w:rPr>
          <w:rFonts w:hint="eastAsia"/>
          <w:vertAlign w:val="superscript"/>
        </w:rPr>
        <w:t>st</w:t>
      </w:r>
      <w:r>
        <w:rPr>
          <w:rFonts w:hint="eastAsia"/>
        </w:rPr>
        <w:t xml:space="preserve"> CG PUSCH and the 2</w:t>
      </w:r>
      <w:r>
        <w:rPr>
          <w:rFonts w:hint="eastAsia"/>
          <w:vertAlign w:val="superscript"/>
        </w:rPr>
        <w:t>nd</w:t>
      </w:r>
      <w:r>
        <w:rPr>
          <w:rFonts w:hint="eastAsia"/>
        </w:rPr>
        <w:t xml:space="preserve"> CG PUSCH are used for packet 1 transmission, while the 3</w:t>
      </w:r>
      <w:r>
        <w:rPr>
          <w:rFonts w:hint="eastAsia"/>
          <w:vertAlign w:val="superscript"/>
        </w:rPr>
        <w:t>rd</w:t>
      </w:r>
      <w:r>
        <w:rPr>
          <w:rFonts w:hint="eastAsia"/>
        </w:rPr>
        <w:t xml:space="preserve"> CG PUSCH and the 4</w:t>
      </w:r>
      <w:r>
        <w:rPr>
          <w:rFonts w:hint="eastAsia"/>
          <w:vertAlign w:val="superscript"/>
        </w:rPr>
        <w:t>th</w:t>
      </w:r>
      <w:r>
        <w:rPr>
          <w:rFonts w:hint="eastAsia"/>
        </w:rPr>
        <w:t xml:space="preserve"> CG PUSCH are regarded as redundant resources and these two resources </w:t>
      </w:r>
      <w:r>
        <w:t xml:space="preserve">can </w:t>
      </w:r>
      <w:r>
        <w:rPr>
          <w:rFonts w:hint="eastAsia"/>
        </w:rPr>
        <w:t>be re-used for other XR service transmission. The procedure of resource release can be summarized as follows:</w:t>
      </w:r>
    </w:p>
    <w:p>
      <w:pPr>
        <w:spacing w:before="120" w:after="120"/>
      </w:pPr>
      <w:r>
        <w:rPr>
          <w:rFonts w:hint="eastAsia"/>
          <w:b/>
          <w:bCs/>
        </w:rPr>
        <w:t>Step 0:</w:t>
      </w:r>
      <w:r>
        <w:rPr>
          <w:rFonts w:hint="eastAsia"/>
        </w:rPr>
        <w:t xml:space="preserve"> </w:t>
      </w:r>
      <w:r>
        <w:t>Network</w:t>
      </w:r>
      <w:r>
        <w:rPr>
          <w:rFonts w:hint="eastAsia"/>
        </w:rPr>
        <w:t xml:space="preserve"> configuration</w:t>
      </w:r>
    </w:p>
    <w:p>
      <w:pPr>
        <w:numPr>
          <w:ilvl w:val="0"/>
          <w:numId w:val="7"/>
        </w:numPr>
        <w:spacing w:before="120" w:after="120"/>
      </w:pPr>
      <w:r>
        <w:t>Network</w:t>
      </w:r>
      <w:r>
        <w:rPr>
          <w:rFonts w:hint="eastAsia"/>
        </w:rPr>
        <w:t xml:space="preserve"> configures increased CG PUSCH occasion(s) by either Alt 1 </w:t>
      </w:r>
      <w:r>
        <w:t>or</w:t>
      </w:r>
      <w:r>
        <w:rPr>
          <w:rFonts w:hint="eastAsia"/>
        </w:rPr>
        <w:t xml:space="preserve"> Alt 2 </w:t>
      </w:r>
      <w:r>
        <w:t xml:space="preserve">as </w:t>
      </w:r>
      <w:r>
        <w:rPr>
          <w:rFonts w:hint="eastAsia"/>
        </w:rPr>
        <w:t>in Chapter 2.2.1. Moreover, time/frequency domain resource allocation, MCS level, the number of layers are determined by gNB.</w:t>
      </w:r>
    </w:p>
    <w:p>
      <w:pPr>
        <w:spacing w:before="120" w:after="120"/>
      </w:pPr>
      <w:r>
        <w:rPr>
          <w:rFonts w:hint="eastAsia"/>
          <w:b/>
          <w:bCs/>
        </w:rPr>
        <w:t>Step 1:</w:t>
      </w:r>
      <w:r>
        <w:rPr>
          <w:rFonts w:hint="eastAsia"/>
        </w:rPr>
        <w:t xml:space="preserve"> UE estimates the CG occasions usage.</w:t>
      </w:r>
    </w:p>
    <w:p>
      <w:pPr>
        <w:numPr>
          <w:ilvl w:val="0"/>
          <w:numId w:val="7"/>
        </w:numPr>
        <w:spacing w:before="120" w:after="120"/>
      </w:pPr>
      <w:r>
        <w:rPr>
          <w:rFonts w:hint="eastAsia"/>
        </w:rPr>
        <w:t>From the beginning of the packet transmission, UE has already known the actual packet size, and the actual CG occasions usage can be estimated, which is based on the resource relat</w:t>
      </w:r>
      <w:r>
        <w:t>ed</w:t>
      </w:r>
      <w:r>
        <w:rPr>
          <w:rFonts w:hint="eastAsia"/>
        </w:rPr>
        <w:t xml:space="preserve"> parameters </w:t>
      </w:r>
      <w:r>
        <w:t xml:space="preserve">set </w:t>
      </w:r>
      <w:r>
        <w:rPr>
          <w:rFonts w:hint="eastAsia"/>
        </w:rPr>
        <w:t>by</w:t>
      </w:r>
      <w:r>
        <w:t xml:space="preserve"> semi-</w:t>
      </w:r>
      <w:r>
        <w:rPr>
          <w:rFonts w:hint="eastAsia"/>
        </w:rPr>
        <w:t xml:space="preserve">static configuration of gNB or activation </w:t>
      </w:r>
      <w:r>
        <w:t>DCI</w:t>
      </w:r>
      <w:r>
        <w:rPr>
          <w:rFonts w:hint="eastAsia"/>
        </w:rPr>
        <w:t>, including e.g., time/frequency domain resource allocation, MCS level and the number of layers.</w:t>
      </w:r>
    </w:p>
    <w:p>
      <w:pPr>
        <w:spacing w:before="120" w:after="120"/>
      </w:pPr>
      <w:r>
        <w:rPr>
          <w:rFonts w:hint="eastAsia"/>
          <w:b/>
          <w:bCs/>
        </w:rPr>
        <w:t>Step 2:</w:t>
      </w:r>
      <w:r>
        <w:rPr>
          <w:rFonts w:hint="eastAsia"/>
        </w:rPr>
        <w:t xml:space="preserve"> UE </w:t>
      </w:r>
      <w:r>
        <w:t>decides whether or not report Resource Release</w:t>
      </w:r>
    </w:p>
    <w:p>
      <w:pPr>
        <w:numPr>
          <w:ilvl w:val="0"/>
          <w:numId w:val="7"/>
        </w:numPr>
        <w:spacing w:before="120" w:after="120"/>
      </w:pPr>
      <w:r>
        <w:rPr>
          <w:rFonts w:hint="eastAsia"/>
        </w:rPr>
        <w:t>UE compares the CG occasions usage and the pre-configured CG occasions in Step 0 in a CG period. If the CG used occasions estimated by UE is less than the number of pre-configured CG occasions in a CG period, UE reports the resource release indication to gNB.</w:t>
      </w:r>
    </w:p>
    <w:p>
      <w:pPr>
        <w:spacing w:before="120" w:after="120"/>
      </w:pPr>
      <w:r>
        <w:rPr>
          <w:rFonts w:hint="eastAsia"/>
          <w:b/>
          <w:bCs/>
        </w:rPr>
        <w:t>Step 3:</w:t>
      </w:r>
      <w:r>
        <w:rPr>
          <w:rFonts w:hint="eastAsia"/>
        </w:rPr>
        <w:t xml:space="preserve"> UE transmits the resource release reporting to gNB through L1 or L2 signaling.</w:t>
      </w:r>
    </w:p>
    <w:p>
      <w:pPr>
        <w:numPr>
          <w:ilvl w:val="0"/>
          <w:numId w:val="7"/>
        </w:numPr>
        <w:spacing w:before="120" w:after="120"/>
      </w:pPr>
      <w:r>
        <w:rPr>
          <w:rFonts w:hint="eastAsia"/>
        </w:rPr>
        <w:t xml:space="preserve">The UCI or the MAC CE can be used for carry the resource release indication. And it is better to specify a new dedicated UCI or MAC CE to carry this kind of indication. When it comes to UCI signaling, if the signaling is transmitted in PUCCH, the resource release indication is SR-like report. While if the signaling is carried by PUSCH, the resource release indication </w:t>
      </w:r>
      <w:r>
        <w:t>can be</w:t>
      </w:r>
      <w:r>
        <w:rPr>
          <w:rFonts w:hint="eastAsia"/>
        </w:rPr>
        <w:t xml:space="preserve"> CG-UCI-like report.</w:t>
      </w:r>
    </w:p>
    <w:p>
      <w:pPr>
        <w:spacing w:before="120" w:after="120"/>
      </w:pPr>
      <w:r>
        <w:rPr>
          <w:rFonts w:hint="eastAsia"/>
          <w:b/>
          <w:bCs/>
        </w:rPr>
        <w:t>Step 4:</w:t>
      </w:r>
      <w:r>
        <w:rPr>
          <w:rFonts w:hint="eastAsia"/>
        </w:rPr>
        <w:t xml:space="preserve"> gNB schedules/recycles/re-uses these unused resources after the resource release reporting is received.</w:t>
      </w:r>
    </w:p>
    <w:p>
      <w:pPr>
        <w:numPr>
          <w:ilvl w:val="0"/>
          <w:numId w:val="7"/>
        </w:numPr>
        <w:spacing w:before="120" w:after="120"/>
      </w:pPr>
      <w:r>
        <w:rPr>
          <w:rFonts w:hint="eastAsia"/>
        </w:rPr>
        <w:t xml:space="preserve">When the resource release indication is transmitted, gNB should firstly decode the resource release indication and schedule the unused resources </w:t>
      </w:r>
      <w:r>
        <w:t xml:space="preserve">at least </w:t>
      </w:r>
      <w:r>
        <w:rPr>
          <w:rFonts w:hint="eastAsia"/>
        </w:rPr>
        <w:t>if the resource release indication is decoded correctly. It means that the unused resources can be released and reused, in the condition that there is D</w:t>
      </w:r>
      <w:r>
        <w:t>ownlink</w:t>
      </w:r>
      <w:r>
        <w:rPr>
          <w:rFonts w:hint="eastAsia"/>
        </w:rPr>
        <w:t xml:space="preserve"> slot</w:t>
      </w:r>
      <w:r>
        <w:t>/symbols</w:t>
      </w:r>
      <w:r>
        <w:rPr>
          <w:rFonts w:hint="eastAsia"/>
        </w:rPr>
        <w:t xml:space="preserve"> between the U</w:t>
      </w:r>
      <w:r>
        <w:t>plink</w:t>
      </w:r>
      <w:r>
        <w:rPr>
          <w:rFonts w:hint="eastAsia"/>
        </w:rPr>
        <w:t xml:space="preserve"> slot</w:t>
      </w:r>
      <w:r>
        <w:t>/symbol</w:t>
      </w:r>
      <w:r>
        <w:rPr>
          <w:rFonts w:hint="eastAsia"/>
        </w:rPr>
        <w:t xml:space="preserve"> for resource release indication reception and </w:t>
      </w:r>
      <w:r>
        <w:t xml:space="preserve">the indicated Uplink </w:t>
      </w:r>
      <w:r>
        <w:rPr>
          <w:rFonts w:hint="eastAsia"/>
        </w:rPr>
        <w:t xml:space="preserve">unused </w:t>
      </w:r>
      <w:r>
        <w:t>slots/symbols</w:t>
      </w:r>
      <w:r>
        <w:rPr>
          <w:rFonts w:hint="eastAsia"/>
        </w:rPr>
        <w:t xml:space="preserve">. It is obvious that current TDD </w:t>
      </w:r>
      <w:r>
        <w:t>configuration</w:t>
      </w:r>
      <w:r>
        <w:rPr>
          <w:rFonts w:hint="eastAsia"/>
        </w:rPr>
        <w:t xml:space="preserve"> in reality, i.e. DDDSU, DDDUU, can </w:t>
      </w:r>
      <w:r>
        <w:t>meet</w:t>
      </w:r>
      <w:r>
        <w:rPr>
          <w:rFonts w:hint="eastAsia"/>
        </w:rPr>
        <w:t xml:space="preserve"> the condition.</w:t>
      </w:r>
    </w:p>
    <w:p>
      <w:pPr>
        <w:spacing w:before="120" w:after="120"/>
      </w:pPr>
      <w:r>
        <w:rPr>
          <w:rFonts w:hint="eastAsia"/>
        </w:rPr>
        <w:t>The procedure can be summarized in the following figure</w:t>
      </w:r>
      <w:r>
        <w:t xml:space="preserve"> for simplicity</w:t>
      </w:r>
      <w:r>
        <w:rPr>
          <w:rFonts w:hint="eastAsia"/>
        </w:rPr>
        <w:t>:</w:t>
      </w:r>
    </w:p>
    <w:p>
      <w:pPr>
        <w:spacing w:before="120" w:after="120"/>
        <w:jc w:val="center"/>
      </w:pPr>
      <w:r>
        <w:drawing>
          <wp:inline distT="0" distB="0" distL="114300" distR="114300">
            <wp:extent cx="5141595" cy="2000885"/>
            <wp:effectExtent l="0" t="0" r="0" b="0"/>
            <wp:docPr id="40" name="图片 40" descr="总体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总体流程图"/>
                    <pic:cNvPicPr>
                      <a:picLocks noChangeAspect="1"/>
                    </pic:cNvPicPr>
                  </pic:nvPicPr>
                  <pic:blipFill>
                    <a:blip r:embed="rId13"/>
                    <a:stretch>
                      <a:fillRect/>
                    </a:stretch>
                  </pic:blipFill>
                  <pic:spPr>
                    <a:xfrm>
                      <a:off x="0" y="0"/>
                      <a:ext cx="5141595" cy="2000885"/>
                    </a:xfrm>
                    <a:prstGeom prst="rect">
                      <a:avLst/>
                    </a:prstGeom>
                  </pic:spPr>
                </pic:pic>
              </a:graphicData>
            </a:graphic>
          </wp:inline>
        </w:drawing>
      </w:r>
    </w:p>
    <w:p>
      <w:pPr>
        <w:spacing w:before="120" w:after="120"/>
        <w:jc w:val="center"/>
      </w:pPr>
      <w:r>
        <w:rPr>
          <w:rFonts w:hint="eastAsia"/>
        </w:rPr>
        <w:t>Figure 4 The procedure of resource release indication transmission</w:t>
      </w:r>
    </w:p>
    <w:p>
      <w:pPr>
        <w:pStyle w:val="51"/>
        <w:spacing w:before="120" w:after="120"/>
        <w:jc w:val="both"/>
        <w:rPr>
          <w:lang w:val="en-US" w:eastAsia="zh-CN"/>
        </w:rPr>
      </w:pPr>
      <w:bookmarkStart w:id="8" w:name="_Toc15637"/>
      <w:r>
        <w:rPr>
          <w:rFonts w:hint="eastAsia"/>
          <w:lang w:val="en-US" w:eastAsia="zh-CN"/>
        </w:rPr>
        <w:t>Based on the</w:t>
      </w:r>
      <w:r>
        <w:rPr>
          <w:lang w:val="en-US" w:eastAsia="zh-CN"/>
        </w:rPr>
        <w:t xml:space="preserve"> </w:t>
      </w:r>
      <w:r>
        <w:rPr>
          <w:rFonts w:hint="eastAsia"/>
          <w:lang w:val="en-US" w:eastAsia="zh-CN"/>
        </w:rPr>
        <w:t xml:space="preserve">resource configuration of the BS, the UE </w:t>
      </w:r>
      <w:r>
        <w:rPr>
          <w:lang w:val="en-US" w:eastAsia="zh-CN"/>
        </w:rPr>
        <w:t>can</w:t>
      </w:r>
      <w:r>
        <w:rPr>
          <w:rFonts w:hint="eastAsia"/>
        </w:rPr>
        <w:t xml:space="preserve"> estimate the CG occasions usage</w:t>
      </w:r>
      <w:r>
        <w:t xml:space="preserve">, and </w:t>
      </w:r>
      <w:r>
        <w:rPr>
          <w:rFonts w:hint="eastAsia"/>
        </w:rPr>
        <w:t xml:space="preserve">UE </w:t>
      </w:r>
      <w:r>
        <w:t>decides whether or not report Resource Release</w:t>
      </w:r>
      <w:r>
        <w:rPr>
          <w:rFonts w:hint="eastAsia"/>
          <w:lang w:val="en-US" w:eastAsia="zh-CN"/>
        </w:rPr>
        <w:t>.</w:t>
      </w:r>
      <w:bookmarkEnd w:id="8"/>
    </w:p>
    <w:p>
      <w:pPr>
        <w:pStyle w:val="51"/>
        <w:spacing w:before="120" w:after="120"/>
        <w:jc w:val="both"/>
        <w:rPr>
          <w:lang w:val="en-US" w:eastAsia="zh-CN"/>
        </w:rPr>
      </w:pPr>
      <w:bookmarkStart w:id="9" w:name="_Toc10502"/>
      <w:r>
        <w:rPr>
          <w:rFonts w:hint="eastAsia"/>
          <w:lang w:val="en-US" w:eastAsia="zh-CN"/>
        </w:rPr>
        <w:t>Release indication for unused CG PUSCHs can be carried by L1/L2 signaling.</w:t>
      </w:r>
      <w:bookmarkEnd w:id="9"/>
      <w:r>
        <w:rPr>
          <w:rFonts w:hint="eastAsia"/>
          <w:lang w:val="en-US" w:eastAsia="zh-CN"/>
        </w:rPr>
        <w:t xml:space="preserve">  </w:t>
      </w:r>
    </w:p>
    <w:p>
      <w:pPr>
        <w:spacing w:before="120" w:after="120"/>
      </w:pPr>
      <w:r>
        <w:rPr>
          <w:rFonts w:hint="eastAsia"/>
        </w:rPr>
        <w:t>In summary, the procedure of resource release indication is helpful for gNB to align the understand of occasion usage in a CG period with UE, saving unused resource and improving the capacity performance.</w:t>
      </w:r>
    </w:p>
    <w:p>
      <w:pPr>
        <w:pStyle w:val="54"/>
        <w:spacing w:before="120" w:after="120"/>
        <w:jc w:val="both"/>
        <w:rPr>
          <w:rFonts w:eastAsia="宋体"/>
          <w:lang w:val="en-US" w:eastAsia="zh-CN"/>
        </w:rPr>
      </w:pPr>
      <w:bookmarkStart w:id="10" w:name="_Toc118728219"/>
      <w:r>
        <w:rPr>
          <w:rFonts w:hint="eastAsia"/>
          <w:lang w:val="en-US" w:eastAsia="zh-CN"/>
        </w:rPr>
        <w:t xml:space="preserve">Support dynamic indication of </w:t>
      </w:r>
      <w:r>
        <w:rPr>
          <w:rFonts w:hint="eastAsia"/>
          <w:szCs w:val="21"/>
        </w:rPr>
        <w:t>unused CG PUSCH occasion(s) or resource(s) by the UE</w:t>
      </w:r>
      <w:r>
        <w:rPr>
          <w:rFonts w:hint="eastAsia"/>
          <w:lang w:val="en-US" w:eastAsia="zh-CN"/>
        </w:rPr>
        <w:t xml:space="preserve"> </w:t>
      </w:r>
      <w:r>
        <w:rPr>
          <w:lang w:val="en-US" w:eastAsia="zh-CN"/>
        </w:rPr>
        <w:t>for</w:t>
      </w:r>
      <w:r>
        <w:rPr>
          <w:rFonts w:hint="eastAsia"/>
          <w:lang w:val="en-US" w:eastAsia="zh-CN"/>
        </w:rPr>
        <w:t xml:space="preserve"> Rel-18 XR in order to address the problem of resource waste in increased CG PUSCH occasion(s) in a period.</w:t>
      </w:r>
      <w:bookmarkEnd w:id="10"/>
    </w:p>
    <w:p>
      <w:pPr>
        <w:pStyle w:val="3"/>
        <w:spacing w:before="120" w:after="120"/>
        <w:ind w:left="991" w:right="210" w:hanging="991" w:hangingChars="354"/>
      </w:pPr>
      <w:r>
        <w:rPr>
          <w:rFonts w:hint="eastAsia" w:eastAsia="宋体"/>
        </w:rPr>
        <w:t>Evaluation results for CG enhancement</w:t>
      </w:r>
    </w:p>
    <w:p>
      <w:pPr>
        <w:pStyle w:val="4"/>
        <w:spacing w:after="120"/>
        <w:ind w:right="210"/>
      </w:pPr>
      <w:r>
        <w:rPr>
          <w:rFonts w:hint="eastAsia" w:eastAsia="宋体"/>
        </w:rPr>
        <w:t>Evaluation assumptions and evaluation results</w:t>
      </w:r>
    </w:p>
    <w:p>
      <w:pPr>
        <w:spacing w:before="120" w:after="120"/>
      </w:pPr>
      <w:r>
        <w:rPr>
          <w:rFonts w:hint="eastAsia"/>
        </w:rPr>
        <w:t>In this part, we present the evaluation results for multiple CG PUSCH transmission occasions in a duration with unused resource release. And we assume that the periodicities of packet arrival and CG PUSCH have been aligned in our simulation</w:t>
      </w:r>
      <w:r>
        <w:t>s</w:t>
      </w:r>
      <w:r>
        <w:rPr>
          <w:rFonts w:hint="eastAsia"/>
        </w:rPr>
        <w:t>. Moreover, the simulation assumptions are shown as below:</w:t>
      </w:r>
    </w:p>
    <w:p>
      <w:pPr>
        <w:numPr>
          <w:ilvl w:val="0"/>
          <w:numId w:val="8"/>
        </w:numPr>
        <w:spacing w:before="120" w:after="120"/>
      </w:pPr>
      <w:r>
        <w:rPr>
          <w:rFonts w:hint="eastAsia"/>
        </w:rPr>
        <w:t xml:space="preserve">Traffic model: </w:t>
      </w:r>
      <w:r>
        <w:t xml:space="preserve">use the </w:t>
      </w:r>
      <w:r>
        <w:rPr>
          <w:rFonts w:hint="eastAsia"/>
        </w:rPr>
        <w:t xml:space="preserve">uplink AR video </w:t>
      </w:r>
      <w:r>
        <w:t xml:space="preserve">traffic model </w:t>
      </w:r>
      <w:r>
        <w:rPr>
          <w:rFonts w:hint="eastAsia"/>
        </w:rPr>
        <w:t>in TR 38.838 [2]</w:t>
      </w:r>
    </w:p>
    <w:p>
      <w:pPr>
        <w:spacing w:before="120" w:after="120"/>
        <w:jc w:val="center"/>
      </w:pPr>
      <w:r>
        <w:rPr>
          <w:rFonts w:hint="eastAsia"/>
        </w:rPr>
        <w:t>Table 1 Traffic model for uplink simulation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605"/>
        <w:gridCol w:w="1762"/>
        <w:gridCol w:w="2368"/>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BEBEBE" w:themeFill="background1" w:themeFillShade="BF"/>
          </w:tcPr>
          <w:p>
            <w:pPr>
              <w:spacing w:beforeLines="0" w:after="0" w:afterLines="0" w:line="240" w:lineRule="auto"/>
              <w:jc w:val="center"/>
              <w:rPr>
                <w:b/>
                <w:bCs/>
              </w:rPr>
            </w:pPr>
            <w:r>
              <w:rPr>
                <w:rFonts w:hint="eastAsia"/>
                <w:b/>
                <w:bCs/>
              </w:rPr>
              <w:t>Traffic Model No.</w:t>
            </w:r>
          </w:p>
        </w:tc>
        <w:tc>
          <w:tcPr>
            <w:tcW w:w="0" w:type="auto"/>
            <w:shd w:val="clear" w:color="auto" w:fill="BEBEBE" w:themeFill="background1" w:themeFillShade="BF"/>
          </w:tcPr>
          <w:p>
            <w:pPr>
              <w:spacing w:beforeLines="0" w:after="0" w:afterLines="0" w:line="240" w:lineRule="auto"/>
              <w:jc w:val="center"/>
              <w:rPr>
                <w:b/>
                <w:bCs/>
              </w:rPr>
            </w:pPr>
            <w:r>
              <w:rPr>
                <w:rFonts w:hint="eastAsia"/>
                <w:b/>
                <w:bCs/>
              </w:rPr>
              <w:t>Bit rate (Mbps)</w:t>
            </w:r>
          </w:p>
        </w:tc>
        <w:tc>
          <w:tcPr>
            <w:tcW w:w="0" w:type="auto"/>
            <w:shd w:val="clear" w:color="auto" w:fill="BEBEBE" w:themeFill="background1" w:themeFillShade="BF"/>
          </w:tcPr>
          <w:p>
            <w:pPr>
              <w:spacing w:beforeLines="0" w:after="0" w:afterLines="0" w:line="240" w:lineRule="auto"/>
              <w:jc w:val="center"/>
              <w:rPr>
                <w:b/>
                <w:bCs/>
              </w:rPr>
            </w:pPr>
            <w:r>
              <w:rPr>
                <w:rFonts w:hint="eastAsia"/>
                <w:b/>
                <w:bCs/>
              </w:rPr>
              <w:t>Periodicity (FPS)</w:t>
            </w:r>
          </w:p>
        </w:tc>
        <w:tc>
          <w:tcPr>
            <w:tcW w:w="0" w:type="auto"/>
            <w:shd w:val="clear" w:color="auto" w:fill="BEBEBE" w:themeFill="background1" w:themeFillShade="BF"/>
          </w:tcPr>
          <w:p>
            <w:pPr>
              <w:spacing w:beforeLines="0" w:after="0" w:afterLines="0" w:line="240" w:lineRule="auto"/>
              <w:jc w:val="center"/>
              <w:rPr>
                <w:b/>
                <w:bCs/>
              </w:rPr>
            </w:pPr>
            <w:r>
              <w:rPr>
                <w:rFonts w:hint="eastAsia"/>
                <w:b/>
                <w:bCs/>
              </w:rPr>
              <w:t>Mean Packet size (Byte)</w:t>
            </w:r>
          </w:p>
        </w:tc>
        <w:tc>
          <w:tcPr>
            <w:tcW w:w="0" w:type="auto"/>
            <w:shd w:val="clear" w:color="auto" w:fill="BEBEBE" w:themeFill="background1" w:themeFillShade="BF"/>
          </w:tcPr>
          <w:p>
            <w:pPr>
              <w:spacing w:beforeLines="0" w:after="0" w:afterLines="0" w:line="240" w:lineRule="auto"/>
              <w:jc w:val="center"/>
              <w:rPr>
                <w:b/>
                <w:bCs/>
              </w:rPr>
            </w:pPr>
            <w:r>
              <w:rPr>
                <w:rFonts w:hint="eastAsia"/>
                <w:b/>
                <w:bCs/>
              </w:rPr>
              <w:t>PDB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Lines="0" w:after="0" w:afterLines="0" w:line="240" w:lineRule="auto"/>
              <w:jc w:val="center"/>
            </w:pPr>
            <w:r>
              <w:rPr>
                <w:rFonts w:hint="eastAsia"/>
              </w:rPr>
              <w:t>Traffic Model 1</w:t>
            </w:r>
          </w:p>
        </w:tc>
        <w:tc>
          <w:tcPr>
            <w:tcW w:w="0" w:type="auto"/>
          </w:tcPr>
          <w:p>
            <w:pPr>
              <w:spacing w:beforeLines="0" w:after="0" w:afterLines="0" w:line="240" w:lineRule="auto"/>
              <w:jc w:val="center"/>
            </w:pPr>
            <w:r>
              <w:rPr>
                <w:rFonts w:hint="eastAsia"/>
              </w:rPr>
              <w:t>20</w:t>
            </w:r>
          </w:p>
        </w:tc>
        <w:tc>
          <w:tcPr>
            <w:tcW w:w="0" w:type="auto"/>
          </w:tcPr>
          <w:p>
            <w:pPr>
              <w:spacing w:beforeLines="0" w:after="0" w:afterLines="0" w:line="240" w:lineRule="auto"/>
              <w:jc w:val="center"/>
            </w:pPr>
            <w:r>
              <w:rPr>
                <w:rFonts w:hint="eastAsia"/>
              </w:rPr>
              <w:t>60</w:t>
            </w:r>
          </w:p>
        </w:tc>
        <w:tc>
          <w:tcPr>
            <w:tcW w:w="0" w:type="auto"/>
          </w:tcPr>
          <w:p>
            <w:pPr>
              <w:spacing w:beforeLines="0" w:after="0" w:afterLines="0" w:line="240" w:lineRule="auto"/>
              <w:jc w:val="center"/>
            </w:pPr>
            <w:r>
              <w:rPr>
                <w:rFonts w:hint="eastAsia"/>
              </w:rPr>
              <w:t>41667</w:t>
            </w:r>
          </w:p>
        </w:tc>
        <w:tc>
          <w:tcPr>
            <w:tcW w:w="0" w:type="auto"/>
          </w:tcPr>
          <w:p>
            <w:pPr>
              <w:spacing w:beforeLines="0" w:after="0" w:afterLines="0" w:line="240" w:lineRule="auto"/>
              <w:jc w:val="center"/>
            </w:pPr>
            <w:r>
              <w:rPr>
                <w:rFonts w:hint="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Lines="0" w:after="0" w:afterLines="0" w:line="240" w:lineRule="auto"/>
              <w:jc w:val="center"/>
            </w:pPr>
            <w:r>
              <w:rPr>
                <w:rFonts w:hint="eastAsia"/>
              </w:rPr>
              <w:t>Traffic Model 2</w:t>
            </w:r>
          </w:p>
        </w:tc>
        <w:tc>
          <w:tcPr>
            <w:tcW w:w="0" w:type="auto"/>
          </w:tcPr>
          <w:p>
            <w:pPr>
              <w:spacing w:beforeLines="0" w:after="0" w:afterLines="0" w:line="240" w:lineRule="auto"/>
              <w:jc w:val="center"/>
            </w:pPr>
            <w:r>
              <w:rPr>
                <w:rFonts w:hint="eastAsia"/>
              </w:rPr>
              <w:t>20</w:t>
            </w:r>
          </w:p>
        </w:tc>
        <w:tc>
          <w:tcPr>
            <w:tcW w:w="0" w:type="auto"/>
          </w:tcPr>
          <w:p>
            <w:pPr>
              <w:spacing w:beforeLines="0" w:after="0" w:afterLines="0" w:line="240" w:lineRule="auto"/>
              <w:jc w:val="center"/>
            </w:pPr>
            <w:r>
              <w:rPr>
                <w:rFonts w:hint="eastAsia"/>
              </w:rPr>
              <w:t>60</w:t>
            </w:r>
          </w:p>
        </w:tc>
        <w:tc>
          <w:tcPr>
            <w:tcW w:w="0" w:type="auto"/>
          </w:tcPr>
          <w:p>
            <w:pPr>
              <w:spacing w:beforeLines="0" w:after="0" w:afterLines="0" w:line="240" w:lineRule="auto"/>
              <w:jc w:val="center"/>
            </w:pPr>
            <w:r>
              <w:rPr>
                <w:rFonts w:hint="eastAsia"/>
              </w:rPr>
              <w:t>41667</w:t>
            </w:r>
          </w:p>
        </w:tc>
        <w:tc>
          <w:tcPr>
            <w:tcW w:w="0" w:type="auto"/>
          </w:tcPr>
          <w:p>
            <w:pPr>
              <w:spacing w:beforeLines="0" w:after="0" w:afterLines="0" w:line="240" w:lineRule="auto"/>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Lines="0" w:after="0" w:afterLines="0" w:line="240" w:lineRule="auto"/>
              <w:jc w:val="center"/>
            </w:pPr>
            <w:r>
              <w:rPr>
                <w:rFonts w:hint="eastAsia"/>
              </w:rPr>
              <w:t>Traffic Model 3</w:t>
            </w:r>
          </w:p>
        </w:tc>
        <w:tc>
          <w:tcPr>
            <w:tcW w:w="0" w:type="auto"/>
          </w:tcPr>
          <w:p>
            <w:pPr>
              <w:spacing w:beforeLines="0" w:after="0" w:afterLines="0" w:line="240" w:lineRule="auto"/>
              <w:jc w:val="center"/>
            </w:pPr>
            <w:r>
              <w:rPr>
                <w:rFonts w:hint="eastAsia"/>
              </w:rPr>
              <w:t>20</w:t>
            </w:r>
          </w:p>
        </w:tc>
        <w:tc>
          <w:tcPr>
            <w:tcW w:w="0" w:type="auto"/>
          </w:tcPr>
          <w:p>
            <w:pPr>
              <w:spacing w:beforeLines="0" w:after="0" w:afterLines="0" w:line="240" w:lineRule="auto"/>
              <w:jc w:val="center"/>
            </w:pPr>
            <w:r>
              <w:rPr>
                <w:rFonts w:hint="eastAsia"/>
              </w:rPr>
              <w:t>60</w:t>
            </w:r>
          </w:p>
        </w:tc>
        <w:tc>
          <w:tcPr>
            <w:tcW w:w="0" w:type="auto"/>
          </w:tcPr>
          <w:p>
            <w:pPr>
              <w:spacing w:beforeLines="0" w:after="0" w:afterLines="0" w:line="240" w:lineRule="auto"/>
              <w:jc w:val="center"/>
            </w:pPr>
            <w:r>
              <w:rPr>
                <w:rFonts w:hint="eastAsia"/>
              </w:rPr>
              <w:t>41667</w:t>
            </w:r>
          </w:p>
        </w:tc>
        <w:tc>
          <w:tcPr>
            <w:tcW w:w="0" w:type="auto"/>
          </w:tcPr>
          <w:p>
            <w:pPr>
              <w:spacing w:beforeLines="0" w:after="0" w:afterLines="0" w:line="240" w:lineRule="auto"/>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Lines="0" w:after="0" w:afterLines="0" w:line="240" w:lineRule="auto"/>
              <w:jc w:val="center"/>
            </w:pPr>
            <w:r>
              <w:rPr>
                <w:rFonts w:hint="eastAsia"/>
              </w:rPr>
              <w:t>Traffic Model 4</w:t>
            </w:r>
          </w:p>
        </w:tc>
        <w:tc>
          <w:tcPr>
            <w:tcW w:w="0" w:type="auto"/>
          </w:tcPr>
          <w:p>
            <w:pPr>
              <w:spacing w:beforeLines="0" w:after="0" w:afterLines="0" w:line="240" w:lineRule="auto"/>
              <w:jc w:val="center"/>
            </w:pPr>
            <w:r>
              <w:rPr>
                <w:rFonts w:hint="eastAsia"/>
              </w:rPr>
              <w:t>10</w:t>
            </w:r>
          </w:p>
        </w:tc>
        <w:tc>
          <w:tcPr>
            <w:tcW w:w="0" w:type="auto"/>
          </w:tcPr>
          <w:p>
            <w:pPr>
              <w:spacing w:beforeLines="0" w:after="0" w:afterLines="0" w:line="240" w:lineRule="auto"/>
              <w:jc w:val="center"/>
            </w:pPr>
            <w:r>
              <w:rPr>
                <w:rFonts w:hint="eastAsia"/>
              </w:rPr>
              <w:t>60</w:t>
            </w:r>
          </w:p>
        </w:tc>
        <w:tc>
          <w:tcPr>
            <w:tcW w:w="0" w:type="auto"/>
          </w:tcPr>
          <w:p>
            <w:pPr>
              <w:spacing w:beforeLines="0" w:after="0" w:afterLines="0" w:line="240" w:lineRule="auto"/>
              <w:jc w:val="center"/>
            </w:pPr>
            <w:r>
              <w:rPr>
                <w:rFonts w:hint="eastAsia"/>
              </w:rPr>
              <w:t>20833</w:t>
            </w:r>
          </w:p>
        </w:tc>
        <w:tc>
          <w:tcPr>
            <w:tcW w:w="0" w:type="auto"/>
          </w:tcPr>
          <w:p>
            <w:pPr>
              <w:spacing w:beforeLines="0" w:after="0" w:afterLines="0" w:line="240" w:lineRule="auto"/>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Pr>
          <w:p>
            <w:pPr>
              <w:spacing w:beforeLines="0" w:after="0" w:afterLines="0" w:line="240" w:lineRule="auto"/>
              <w:jc w:val="center"/>
            </w:pPr>
            <w:r>
              <w:rPr>
                <w:rFonts w:hint="eastAsia"/>
              </w:rPr>
              <w:t>Traffic Model 5</w:t>
            </w:r>
          </w:p>
        </w:tc>
        <w:tc>
          <w:tcPr>
            <w:tcW w:w="0" w:type="auto"/>
          </w:tcPr>
          <w:p>
            <w:pPr>
              <w:spacing w:beforeLines="0" w:after="0" w:afterLines="0" w:line="240" w:lineRule="auto"/>
              <w:jc w:val="center"/>
            </w:pPr>
            <w:r>
              <w:rPr>
                <w:rFonts w:hint="eastAsia"/>
              </w:rPr>
              <w:t>10</w:t>
            </w:r>
          </w:p>
        </w:tc>
        <w:tc>
          <w:tcPr>
            <w:tcW w:w="0" w:type="auto"/>
          </w:tcPr>
          <w:p>
            <w:pPr>
              <w:spacing w:beforeLines="0" w:after="0" w:afterLines="0" w:line="240" w:lineRule="auto"/>
              <w:jc w:val="center"/>
            </w:pPr>
            <w:r>
              <w:rPr>
                <w:rFonts w:hint="eastAsia"/>
              </w:rPr>
              <w:t>60</w:t>
            </w:r>
          </w:p>
        </w:tc>
        <w:tc>
          <w:tcPr>
            <w:tcW w:w="0" w:type="auto"/>
          </w:tcPr>
          <w:p>
            <w:pPr>
              <w:spacing w:beforeLines="0" w:after="0" w:afterLines="0" w:line="240" w:lineRule="auto"/>
              <w:jc w:val="center"/>
            </w:pPr>
            <w:r>
              <w:rPr>
                <w:rFonts w:hint="eastAsia"/>
              </w:rPr>
              <w:t>20833</w:t>
            </w:r>
          </w:p>
        </w:tc>
        <w:tc>
          <w:tcPr>
            <w:tcW w:w="0" w:type="auto"/>
          </w:tcPr>
          <w:p>
            <w:pPr>
              <w:spacing w:beforeLines="0" w:after="0" w:afterLines="0" w:line="240" w:lineRule="auto"/>
              <w:jc w:val="center"/>
            </w:pPr>
            <w:r>
              <w:rPr>
                <w:rFonts w:hint="eastAsia"/>
              </w:rPr>
              <w:t>10</w:t>
            </w:r>
          </w:p>
        </w:tc>
      </w:tr>
    </w:tbl>
    <w:p>
      <w:pPr>
        <w:numPr>
          <w:ilvl w:val="0"/>
          <w:numId w:val="8"/>
        </w:numPr>
        <w:spacing w:before="120" w:after="120"/>
      </w:pPr>
      <w:r>
        <w:rPr>
          <w:rFonts w:hint="eastAsia"/>
        </w:rPr>
        <w:t xml:space="preserve">Simulation </w:t>
      </w:r>
      <w:r>
        <w:t>c</w:t>
      </w:r>
      <w:r>
        <w:rPr>
          <w:rFonts w:hint="eastAsia"/>
        </w:rPr>
        <w:t xml:space="preserve">ases: </w:t>
      </w:r>
      <w:r>
        <w:t>Following case 1~ case 3</w:t>
      </w:r>
      <w:r>
        <w:rPr>
          <w:rFonts w:hint="eastAsia"/>
        </w:rPr>
        <w:t xml:space="preserve"> include the legacy CG, dynamic grant, and </w:t>
      </w:r>
      <w:r>
        <w:t xml:space="preserve">enhanced </w:t>
      </w:r>
      <w:r>
        <w:rPr>
          <w:rFonts w:hint="eastAsia"/>
        </w:rPr>
        <w:t>CG.</w:t>
      </w:r>
    </w:p>
    <w:p>
      <w:pPr>
        <w:numPr>
          <w:ilvl w:val="1"/>
          <w:numId w:val="8"/>
        </w:numPr>
        <w:spacing w:before="120" w:after="120"/>
      </w:pPr>
      <w:r>
        <w:rPr>
          <w:rFonts w:hint="eastAsia"/>
        </w:rPr>
        <w:t>Case 1: legacy CG</w:t>
      </w:r>
    </w:p>
    <w:p>
      <w:pPr>
        <w:spacing w:before="120" w:after="120"/>
        <w:jc w:val="center"/>
      </w:pPr>
      <w:r>
        <w:drawing>
          <wp:inline distT="0" distB="0" distL="114300" distR="114300">
            <wp:extent cx="3925570" cy="1443990"/>
            <wp:effectExtent l="0" t="0" r="0" b="0"/>
            <wp:docPr id="23" name="图片 23" descr="CG baseline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G baseline假设"/>
                    <pic:cNvPicPr>
                      <a:picLocks noChangeAspect="1"/>
                    </pic:cNvPicPr>
                  </pic:nvPicPr>
                  <pic:blipFill>
                    <a:blip r:embed="rId14"/>
                    <a:stretch>
                      <a:fillRect/>
                    </a:stretch>
                  </pic:blipFill>
                  <pic:spPr>
                    <a:xfrm>
                      <a:off x="0" y="0"/>
                      <a:ext cx="3925570" cy="1443990"/>
                    </a:xfrm>
                    <a:prstGeom prst="rect">
                      <a:avLst/>
                    </a:prstGeom>
                  </pic:spPr>
                </pic:pic>
              </a:graphicData>
            </a:graphic>
          </wp:inline>
        </w:drawing>
      </w:r>
    </w:p>
    <w:p>
      <w:pPr>
        <w:spacing w:before="120" w:after="120"/>
        <w:jc w:val="center"/>
      </w:pPr>
      <w:r>
        <w:rPr>
          <w:rFonts w:hint="eastAsia"/>
        </w:rPr>
        <w:t xml:space="preserve">Figure 5 Legacy CG </w:t>
      </w:r>
    </w:p>
    <w:p>
      <w:pPr>
        <w:spacing w:before="120" w:after="120"/>
        <w:ind w:left="420"/>
      </w:pPr>
      <w:r>
        <w:t>As shown i</w:t>
      </w:r>
      <w:r>
        <w:rPr>
          <w:rFonts w:hint="eastAsia"/>
        </w:rPr>
        <w:t xml:space="preserve">n Figure 5, orthogonal CG configurations are configured among different UEs in one cell. </w:t>
      </w:r>
    </w:p>
    <w:p>
      <w:pPr>
        <w:numPr>
          <w:ilvl w:val="1"/>
          <w:numId w:val="8"/>
        </w:numPr>
        <w:spacing w:before="120" w:after="120"/>
      </w:pPr>
      <w:r>
        <w:rPr>
          <w:rFonts w:hint="eastAsia"/>
        </w:rPr>
        <w:t>Case 2: uplink dynamic grant</w:t>
      </w:r>
    </w:p>
    <w:p>
      <w:pPr>
        <w:spacing w:before="120" w:after="120"/>
        <w:jc w:val="center"/>
      </w:pPr>
      <w:r>
        <w:rPr>
          <w:rFonts w:hint="eastAsia"/>
        </w:rPr>
        <w:drawing>
          <wp:inline distT="0" distB="0" distL="114300" distR="114300">
            <wp:extent cx="4461510" cy="1443355"/>
            <wp:effectExtent l="0" t="0" r="0" b="4445"/>
            <wp:docPr id="2" name="图片 2" descr="DG仿真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G仿真假设"/>
                    <pic:cNvPicPr>
                      <a:picLocks noChangeAspect="1"/>
                    </pic:cNvPicPr>
                  </pic:nvPicPr>
                  <pic:blipFill>
                    <a:blip r:embed="rId15"/>
                    <a:stretch>
                      <a:fillRect/>
                    </a:stretch>
                  </pic:blipFill>
                  <pic:spPr>
                    <a:xfrm>
                      <a:off x="0" y="0"/>
                      <a:ext cx="4461510" cy="1443355"/>
                    </a:xfrm>
                    <a:prstGeom prst="rect">
                      <a:avLst/>
                    </a:prstGeom>
                  </pic:spPr>
                </pic:pic>
              </a:graphicData>
            </a:graphic>
          </wp:inline>
        </w:drawing>
      </w:r>
    </w:p>
    <w:p>
      <w:pPr>
        <w:numPr>
          <w:ilvl w:val="0"/>
          <w:numId w:val="9"/>
        </w:numPr>
        <w:spacing w:before="120" w:after="120"/>
        <w:jc w:val="center"/>
      </w:pPr>
      <w:r>
        <w:rPr>
          <w:rFonts w:hint="eastAsia"/>
        </w:rPr>
        <w:t>Agreed UL dynamic grant baseline (Case 2-1)</w:t>
      </w:r>
    </w:p>
    <w:p>
      <w:pPr>
        <w:numPr>
          <w:ilvl w:val="255"/>
          <w:numId w:val="0"/>
        </w:numPr>
        <w:spacing w:before="120" w:after="120"/>
        <w:jc w:val="center"/>
      </w:pPr>
      <w:r>
        <w:rPr>
          <w:rFonts w:hint="eastAsia"/>
        </w:rPr>
        <w:drawing>
          <wp:inline distT="0" distB="0" distL="114300" distR="114300">
            <wp:extent cx="4451985" cy="1440180"/>
            <wp:effectExtent l="0" t="0" r="0" b="7620"/>
            <wp:docPr id="6" name="图片 6" descr="Argured DG 仿真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rgured DG 仿真假设"/>
                    <pic:cNvPicPr>
                      <a:picLocks noChangeAspect="1"/>
                    </pic:cNvPicPr>
                  </pic:nvPicPr>
                  <pic:blipFill>
                    <a:blip r:embed="rId16"/>
                    <a:stretch>
                      <a:fillRect/>
                    </a:stretch>
                  </pic:blipFill>
                  <pic:spPr>
                    <a:xfrm>
                      <a:off x="0" y="0"/>
                      <a:ext cx="4451985" cy="1440180"/>
                    </a:xfrm>
                    <a:prstGeom prst="rect">
                      <a:avLst/>
                    </a:prstGeom>
                  </pic:spPr>
                </pic:pic>
              </a:graphicData>
            </a:graphic>
          </wp:inline>
        </w:drawing>
      </w:r>
    </w:p>
    <w:p>
      <w:pPr>
        <w:numPr>
          <w:ilvl w:val="0"/>
          <w:numId w:val="9"/>
        </w:numPr>
        <w:spacing w:before="120" w:after="120"/>
        <w:jc w:val="center"/>
      </w:pPr>
      <w:r>
        <w:rPr>
          <w:rFonts w:hint="eastAsia"/>
        </w:rPr>
        <w:t>Another UL dynamic grant baseline (Case 2-2)</w:t>
      </w:r>
    </w:p>
    <w:p>
      <w:pPr>
        <w:spacing w:before="120" w:after="120"/>
        <w:ind w:left="420"/>
        <w:jc w:val="center"/>
      </w:pPr>
      <w:r>
        <w:rPr>
          <w:rFonts w:hint="eastAsia"/>
        </w:rPr>
        <w:t>Figure 6 Dynamic grant with Tx delay (Note that DCI-x schedul</w:t>
      </w:r>
      <w:r>
        <w:t>es</w:t>
      </w:r>
      <w:r>
        <w:rPr>
          <w:rFonts w:hint="eastAsia"/>
        </w:rPr>
        <w:t xml:space="preserve"> PUSCH-x, while DCI-B schedul</w:t>
      </w:r>
      <w:r>
        <w:t>es</w:t>
      </w:r>
      <w:r>
        <w:rPr>
          <w:rFonts w:hint="eastAsia"/>
        </w:rPr>
        <w:t xml:space="preserve"> PUSCH only for BSR)</w:t>
      </w:r>
    </w:p>
    <w:p>
      <w:pPr>
        <w:spacing w:before="120" w:after="120"/>
        <w:ind w:left="420"/>
      </w:pPr>
      <w:r>
        <w:rPr>
          <w:rFonts w:hint="eastAsia"/>
        </w:rPr>
        <w:t>In previous meeting, w</w:t>
      </w:r>
      <w:r>
        <w:t xml:space="preserve">e agreed </w:t>
      </w:r>
      <w:r>
        <w:rPr>
          <w:rFonts w:ascii="Times" w:hAnsi="Times" w:cs="Times"/>
          <w:szCs w:val="21"/>
        </w:rPr>
        <w:t>when DG is used as the baseline scheme, both BSR and UL data can be transmitted using the UL grant after SR, the procedure is depicted in Figure 6</w:t>
      </w:r>
      <w:r>
        <w:rPr>
          <w:rFonts w:hint="eastAsia" w:ascii="Times" w:hAnsi="Times" w:cs="Times"/>
          <w:szCs w:val="21"/>
        </w:rPr>
        <w:t>(a)</w:t>
      </w:r>
      <w:r>
        <w:rPr>
          <w:rFonts w:hint="eastAsia"/>
        </w:rPr>
        <w:t xml:space="preserve">. </w:t>
      </w:r>
    </w:p>
    <w:p>
      <w:pPr>
        <w:spacing w:before="120" w:after="120"/>
        <w:ind w:left="420"/>
        <w:rPr>
          <w:rFonts w:ascii="Times" w:hAnsi="Times" w:cs="Times"/>
          <w:szCs w:val="21"/>
        </w:rPr>
      </w:pPr>
      <w:r>
        <w:t xml:space="preserve">While in for XR use case, it seems challenging for gNB to predict the </w:t>
      </w:r>
      <w:r>
        <w:rPr>
          <w:rFonts w:ascii="Times" w:hAnsi="Times" w:cs="Times"/>
          <w:szCs w:val="21"/>
        </w:rPr>
        <w:t>size of resources by the first UL grant. For simplification, we assume accurate size of resource for the first UL grant can be obtained with the ability of XR-awareness. For case 2, i</w:t>
      </w:r>
      <w:r>
        <w:rPr>
          <w:rFonts w:hint="eastAsia" w:ascii="Times" w:hAnsi="Times" w:cs="Times"/>
          <w:szCs w:val="21"/>
        </w:rPr>
        <w:t xml:space="preserve">t should be noted that we have an assumption </w:t>
      </w:r>
      <w:r>
        <w:rPr>
          <w:rFonts w:ascii="Times" w:hAnsi="Times" w:cs="Times"/>
          <w:szCs w:val="21"/>
        </w:rPr>
        <w:t>of ideal</w:t>
      </w:r>
      <w:r>
        <w:rPr>
          <w:rFonts w:hint="eastAsia" w:ascii="Times" w:hAnsi="Times" w:cs="Times"/>
          <w:szCs w:val="21"/>
        </w:rPr>
        <w:t xml:space="preserve"> BSR</w:t>
      </w:r>
      <w:r>
        <w:rPr>
          <w:rFonts w:ascii="Times" w:hAnsi="Times" w:cs="Times"/>
          <w:szCs w:val="21"/>
        </w:rPr>
        <w:t xml:space="preserve"> reception</w:t>
      </w:r>
      <w:r>
        <w:rPr>
          <w:rFonts w:hint="eastAsia" w:ascii="Times" w:hAnsi="Times" w:cs="Times"/>
          <w:szCs w:val="21"/>
        </w:rPr>
        <w:t xml:space="preserve">, implying that BSR is always </w:t>
      </w:r>
      <w:r>
        <w:rPr>
          <w:rFonts w:ascii="Times" w:hAnsi="Times" w:cs="Times"/>
          <w:szCs w:val="21"/>
        </w:rPr>
        <w:t>received</w:t>
      </w:r>
      <w:r>
        <w:rPr>
          <w:rFonts w:hint="eastAsia" w:ascii="Times" w:hAnsi="Times" w:cs="Times"/>
          <w:szCs w:val="21"/>
        </w:rPr>
        <w:t xml:space="preserve"> successfully.</w:t>
      </w:r>
    </w:p>
    <w:p>
      <w:pPr>
        <w:numPr>
          <w:ilvl w:val="1"/>
          <w:numId w:val="8"/>
        </w:numPr>
        <w:spacing w:before="120" w:after="120"/>
      </w:pPr>
      <w:r>
        <w:rPr>
          <w:rFonts w:hint="eastAsia"/>
        </w:rPr>
        <w:t>Case 3: CG enhancement (eCG)</w:t>
      </w:r>
    </w:p>
    <w:p>
      <w:pPr>
        <w:spacing w:before="120" w:after="120"/>
        <w:jc w:val="center"/>
      </w:pPr>
      <w:r>
        <w:rPr>
          <w:rFonts w:hint="eastAsia"/>
        </w:rPr>
        <w:drawing>
          <wp:inline distT="0" distB="0" distL="114300" distR="114300">
            <wp:extent cx="6126480" cy="1859280"/>
            <wp:effectExtent l="0" t="0" r="0" b="0"/>
            <wp:docPr id="11" name="图片 11" descr="eCG resource 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CG resource release"/>
                    <pic:cNvPicPr>
                      <a:picLocks noChangeAspect="1"/>
                    </pic:cNvPicPr>
                  </pic:nvPicPr>
                  <pic:blipFill>
                    <a:blip r:embed="rId17"/>
                    <a:stretch>
                      <a:fillRect/>
                    </a:stretch>
                  </pic:blipFill>
                  <pic:spPr>
                    <a:xfrm>
                      <a:off x="0" y="0"/>
                      <a:ext cx="6126480" cy="1859280"/>
                    </a:xfrm>
                    <a:prstGeom prst="rect">
                      <a:avLst/>
                    </a:prstGeom>
                  </pic:spPr>
                </pic:pic>
              </a:graphicData>
            </a:graphic>
          </wp:inline>
        </w:drawing>
      </w:r>
    </w:p>
    <w:p>
      <w:pPr>
        <w:spacing w:before="120" w:after="120"/>
        <w:jc w:val="center"/>
      </w:pPr>
      <w:r>
        <w:rPr>
          <w:rFonts w:hint="eastAsia"/>
        </w:rPr>
        <w:t>Figure 7 multiple CG PUSCH transmission occasions configuration with resource release</w:t>
      </w:r>
    </w:p>
    <w:p>
      <w:pPr>
        <w:numPr>
          <w:ilvl w:val="255"/>
          <w:numId w:val="0"/>
        </w:numPr>
        <w:spacing w:before="120" w:after="120"/>
      </w:pPr>
      <w:r>
        <w:rPr>
          <w:rFonts w:hint="eastAsia"/>
        </w:rPr>
        <w:t>As shown in Figure 7, the used resources release is introduced in CG enhancement. And we think the parameters of CG configuration can be re-initialized.</w:t>
      </w:r>
    </w:p>
    <w:p>
      <w:pPr>
        <w:spacing w:before="120" w:after="120"/>
      </w:pPr>
      <w:r>
        <w:rPr>
          <w:rFonts w:hint="eastAsia"/>
        </w:rPr>
        <w:t>The evaluation assumptions have been listed in Appendix A.</w:t>
      </w:r>
      <w:r>
        <w:t xml:space="preserve"> </w:t>
      </w:r>
    </w:p>
    <w:p>
      <w:pPr>
        <w:spacing w:before="120" w:after="120"/>
      </w:pPr>
      <w:r>
        <w:t>T</w:t>
      </w:r>
      <w:r>
        <w:rPr>
          <w:rFonts w:hint="eastAsia"/>
        </w:rPr>
        <w:t>he simulation results with different traffic model</w:t>
      </w:r>
      <w:r>
        <w:t>s</w:t>
      </w:r>
      <w:r>
        <w:rPr>
          <w:rFonts w:hint="eastAsia"/>
        </w:rPr>
        <w:t xml:space="preserve"> are shown below: </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92"/>
        <w:gridCol w:w="3292"/>
        <w:gridCol w:w="3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7" w:type="pct"/>
            <w:vAlign w:val="center"/>
          </w:tcPr>
          <w:p>
            <w:pPr>
              <w:widowControl w:val="0"/>
              <w:spacing w:before="120" w:after="120"/>
              <w:jc w:val="center"/>
            </w:pPr>
            <w:r>
              <w:drawing>
                <wp:inline distT="0" distB="0" distL="114300" distR="114300">
                  <wp:extent cx="2159635" cy="1619885"/>
                  <wp:effectExtent l="0" t="0" r="0" b="18415"/>
                  <wp:docPr id="3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2"/>
                          <pic:cNvPicPr>
                            <a:picLocks noChangeAspect="1"/>
                          </pic:cNvPicPr>
                        </pic:nvPicPr>
                        <pic:blipFill>
                          <a:blip r:embed="rId18"/>
                          <a:stretch>
                            <a:fillRect/>
                          </a:stretch>
                        </pic:blipFill>
                        <pic:spPr>
                          <a:xfrm>
                            <a:off x="0" y="0"/>
                            <a:ext cx="2159635" cy="1619885"/>
                          </a:xfrm>
                          <a:prstGeom prst="rect">
                            <a:avLst/>
                          </a:prstGeom>
                          <a:noFill/>
                          <a:ln>
                            <a:noFill/>
                          </a:ln>
                        </pic:spPr>
                      </pic:pic>
                    </a:graphicData>
                  </a:graphic>
                </wp:inline>
              </w:drawing>
            </w:r>
          </w:p>
        </w:tc>
        <w:tc>
          <w:tcPr>
            <w:tcW w:w="1831" w:type="pct"/>
            <w:vAlign w:val="center"/>
          </w:tcPr>
          <w:p>
            <w:pPr>
              <w:widowControl w:val="0"/>
              <w:spacing w:before="120" w:after="120"/>
              <w:jc w:val="center"/>
            </w:pPr>
            <w:r>
              <w:drawing>
                <wp:inline distT="0" distB="0" distL="114300" distR="114300">
                  <wp:extent cx="2159635" cy="1619885"/>
                  <wp:effectExtent l="0" t="0" r="0" b="18415"/>
                  <wp:docPr id="3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pic:cNvPicPr>
                            <a:picLocks noChangeAspect="1"/>
                          </pic:cNvPicPr>
                        </pic:nvPicPr>
                        <pic:blipFill>
                          <a:blip r:embed="rId19"/>
                          <a:stretch>
                            <a:fillRect/>
                          </a:stretch>
                        </pic:blipFill>
                        <pic:spPr>
                          <a:xfrm>
                            <a:off x="0" y="0"/>
                            <a:ext cx="2159635" cy="1619885"/>
                          </a:xfrm>
                          <a:prstGeom prst="rect">
                            <a:avLst/>
                          </a:prstGeom>
                          <a:noFill/>
                          <a:ln>
                            <a:noFill/>
                          </a:ln>
                        </pic:spPr>
                      </pic:pic>
                    </a:graphicData>
                  </a:graphic>
                </wp:inline>
              </w:drawing>
            </w:r>
          </w:p>
        </w:tc>
        <w:tc>
          <w:tcPr>
            <w:tcW w:w="1831" w:type="pct"/>
            <w:vAlign w:val="center"/>
          </w:tcPr>
          <w:p>
            <w:pPr>
              <w:keepNext/>
              <w:widowControl w:val="0"/>
              <w:spacing w:before="120" w:after="120"/>
            </w:pPr>
            <w:r>
              <w:drawing>
                <wp:inline distT="0" distB="0" distL="114300" distR="114300">
                  <wp:extent cx="2159635" cy="1619885"/>
                  <wp:effectExtent l="0" t="0" r="0" b="18415"/>
                  <wp:docPr id="3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3"/>
                          <pic:cNvPicPr>
                            <a:picLocks noChangeAspect="1"/>
                          </pic:cNvPicPr>
                        </pic:nvPicPr>
                        <pic:blipFill>
                          <a:blip r:embed="rId20"/>
                          <a:stretch>
                            <a:fillRect/>
                          </a:stretch>
                        </pic:blipFill>
                        <pic:spPr>
                          <a:xfrm>
                            <a:off x="0" y="0"/>
                            <a:ext cx="2159635" cy="161988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7" w:type="pct"/>
            <w:vAlign w:val="center"/>
          </w:tcPr>
          <w:p>
            <w:pPr>
              <w:widowControl w:val="0"/>
              <w:spacing w:before="120" w:after="120"/>
              <w:jc w:val="center"/>
              <w:rPr>
                <w:lang w:val="en-GB"/>
              </w:rPr>
            </w:pPr>
            <w:r>
              <w:rPr>
                <w:rFonts w:hint="eastAsia"/>
              </w:rPr>
              <w:t>(</w:t>
            </w:r>
            <w:r>
              <w:rPr>
                <w:rFonts w:hint="eastAsia"/>
                <w:lang w:val="en-GB"/>
              </w:rPr>
              <w:t xml:space="preserve">a) </w:t>
            </w:r>
            <w:r>
              <w:rPr>
                <w:rFonts w:hint="eastAsia"/>
              </w:rPr>
              <w:t>Traffic model 1: 20Mbps@60fps, 30ms</w:t>
            </w:r>
            <w:r>
              <w:t xml:space="preserve"> PDB</w:t>
            </w:r>
          </w:p>
        </w:tc>
        <w:tc>
          <w:tcPr>
            <w:tcW w:w="1831" w:type="pct"/>
            <w:vAlign w:val="center"/>
          </w:tcPr>
          <w:p>
            <w:pPr>
              <w:widowControl w:val="0"/>
              <w:spacing w:before="120" w:after="120"/>
              <w:jc w:val="center"/>
              <w:rPr>
                <w:lang w:val="en-GB"/>
              </w:rPr>
            </w:pPr>
            <w:r>
              <w:rPr>
                <w:rFonts w:hint="eastAsia"/>
              </w:rPr>
              <w:t>(</w:t>
            </w:r>
            <w:r>
              <w:rPr>
                <w:rFonts w:hint="eastAsia"/>
                <w:lang w:val="en-GB"/>
              </w:rPr>
              <w:t xml:space="preserve">b) </w:t>
            </w:r>
            <w:r>
              <w:rPr>
                <w:rFonts w:hint="eastAsia"/>
              </w:rPr>
              <w:t>Traffic model 2: 20Mbps@60fps, 15ms</w:t>
            </w:r>
            <w:r>
              <w:t xml:space="preserve"> PDB</w:t>
            </w:r>
          </w:p>
        </w:tc>
        <w:tc>
          <w:tcPr>
            <w:tcW w:w="1831" w:type="pct"/>
            <w:vAlign w:val="center"/>
          </w:tcPr>
          <w:p>
            <w:pPr>
              <w:keepNext/>
              <w:widowControl w:val="0"/>
              <w:spacing w:before="120" w:after="120"/>
              <w:jc w:val="center"/>
              <w:rPr>
                <w:lang w:val="en-GB"/>
              </w:rPr>
            </w:pPr>
            <w:r>
              <w:rPr>
                <w:rFonts w:hint="eastAsia"/>
              </w:rPr>
              <w:t>(</w:t>
            </w:r>
            <w:r>
              <w:rPr>
                <w:rFonts w:hint="eastAsia"/>
                <w:lang w:val="en-GB"/>
              </w:rPr>
              <w:t xml:space="preserve">c) </w:t>
            </w:r>
            <w:r>
              <w:rPr>
                <w:rFonts w:hint="eastAsia"/>
              </w:rPr>
              <w:t>Traffic model 3:  20Mbps@60fps, 10ms</w:t>
            </w:r>
            <w:r>
              <w:t xml:space="preserve"> PDB</w:t>
            </w:r>
          </w:p>
        </w:tc>
      </w:tr>
    </w:tbl>
    <w:p>
      <w:pPr>
        <w:numPr>
          <w:ilvl w:val="255"/>
          <w:numId w:val="0"/>
        </w:numPr>
        <w:spacing w:before="120" w:after="120"/>
        <w:jc w:val="center"/>
      </w:pPr>
      <w:r>
        <w:rPr>
          <w:rFonts w:hint="eastAsia"/>
        </w:rPr>
        <w:t>Figure 8 Capacity comparison among Case 1, Case 2 and Case 3 for 20Mbps@60fps traffic model with different PDB in Dense Urban scenario</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4643" w:type="dxa"/>
          </w:tcPr>
          <w:p>
            <w:pPr>
              <w:spacing w:before="120" w:after="120"/>
              <w:jc w:val="center"/>
            </w:pPr>
            <w:r>
              <w:drawing>
                <wp:inline distT="0" distB="0" distL="114300" distR="114300">
                  <wp:extent cx="2252345" cy="1689100"/>
                  <wp:effectExtent l="0" t="0" r="0" b="6350"/>
                  <wp:docPr id="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0"/>
                          <pic:cNvPicPr>
                            <a:picLocks noChangeAspect="1"/>
                          </pic:cNvPicPr>
                        </pic:nvPicPr>
                        <pic:blipFill>
                          <a:blip r:embed="rId21"/>
                          <a:stretch>
                            <a:fillRect/>
                          </a:stretch>
                        </pic:blipFill>
                        <pic:spPr>
                          <a:xfrm>
                            <a:off x="0" y="0"/>
                            <a:ext cx="2261001" cy="169575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315845" cy="1736725"/>
                  <wp:effectExtent l="0" t="0" r="0" b="0"/>
                  <wp:docPr id="3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1"/>
                          <pic:cNvPicPr>
                            <a:picLocks noChangeAspect="1"/>
                          </pic:cNvPicPr>
                        </pic:nvPicPr>
                        <pic:blipFill>
                          <a:blip r:embed="rId22"/>
                          <a:stretch>
                            <a:fillRect/>
                          </a:stretch>
                        </pic:blipFill>
                        <pic:spPr>
                          <a:xfrm>
                            <a:off x="0" y="0"/>
                            <a:ext cx="2328894" cy="17466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10"/>
              </w:numPr>
              <w:spacing w:before="120" w:after="120"/>
              <w:jc w:val="center"/>
            </w:pPr>
            <w:r>
              <w:rPr>
                <w:rFonts w:hint="eastAsia"/>
              </w:rPr>
              <w:t>Traffic model 4: 10Mbps@60fps, 15ms</w:t>
            </w:r>
          </w:p>
        </w:tc>
        <w:tc>
          <w:tcPr>
            <w:tcW w:w="4643" w:type="dxa"/>
          </w:tcPr>
          <w:p>
            <w:pPr>
              <w:spacing w:before="120" w:after="120"/>
              <w:jc w:val="center"/>
            </w:pPr>
            <w:r>
              <w:rPr>
                <w:rFonts w:hint="eastAsia"/>
              </w:rPr>
              <w:t>(b) Traffic model 5: 10Mbps@60fps, 10ms</w:t>
            </w:r>
          </w:p>
        </w:tc>
      </w:tr>
    </w:tbl>
    <w:p>
      <w:pPr>
        <w:numPr>
          <w:ilvl w:val="255"/>
          <w:numId w:val="0"/>
        </w:numPr>
        <w:spacing w:before="120" w:after="120"/>
        <w:jc w:val="center"/>
      </w:pPr>
      <w:r>
        <w:rPr>
          <w:rFonts w:hint="eastAsia"/>
        </w:rPr>
        <w:t>Figure 9 Capacity comparison among Case 1, Case 2 and Case 3 for 10Mbps@60fps traffic model with different PDB in Dense Urban scenario</w:t>
      </w:r>
    </w:p>
    <w:p>
      <w:pPr>
        <w:numPr>
          <w:ilvl w:val="255"/>
          <w:numId w:val="0"/>
        </w:numPr>
        <w:spacing w:before="120" w:after="120"/>
      </w:pPr>
      <w:r>
        <w:rPr>
          <w:rFonts w:hint="eastAsia"/>
        </w:rPr>
        <w:t xml:space="preserve">It can be observed in Figure 8 that with traffic model of 20Mbps@60fps, the system capacity of CG enhancement is [3.9], [3.5] and [2.6] UEs for 30ms PDB, 15ms PDB and 10ms PDB, respectively. The system capacity of uplink DG with the assumption </w:t>
      </w:r>
      <w:r>
        <w:t>that</w:t>
      </w:r>
      <w:r>
        <w:rPr>
          <w:rFonts w:hint="eastAsia"/>
        </w:rPr>
        <w:t xml:space="preserve"> both BSR and PUSCH are transmitted after SR is triggered is [3.6], [2.1] and [0] UEs for 30ms PDB, 15ms PDB and 10ms PDB, respectively. While the system capacity of uplink DG with the assumption </w:t>
      </w:r>
      <w:r>
        <w:t>that</w:t>
      </w:r>
      <w:r>
        <w:rPr>
          <w:rFonts w:hint="eastAsia"/>
        </w:rPr>
        <w:t xml:space="preserve"> only BSR is transmitted after SR is triggered is [3.5], [0] and [0] UEs for 30ms PDB, 15ms PDB and 10ms PDB, respectively. </w:t>
      </w:r>
    </w:p>
    <w:p>
      <w:pPr>
        <w:numPr>
          <w:ilvl w:val="255"/>
          <w:numId w:val="0"/>
        </w:numPr>
        <w:spacing w:before="120" w:after="120"/>
      </w:pPr>
      <w:r>
        <w:rPr>
          <w:rFonts w:hint="eastAsia"/>
        </w:rPr>
        <w:t xml:space="preserve">It can be observed in Figure 9 that with traffic model of 10Mbps@60fps, the system capacity of CG enhancement is [8.2] and [5.4] UEs for 15ms PDB and 10ms PDB, respectively. The system capacity of uplink DG with the assumption </w:t>
      </w:r>
      <w:r>
        <w:t>that</w:t>
      </w:r>
      <w:r>
        <w:rPr>
          <w:rFonts w:hint="eastAsia"/>
        </w:rPr>
        <w:t xml:space="preserve"> both BSR and PUSCH are transmitted after SR is triggered is [7.0] and [0] UEs for 15ms PDB and 10ms PDB, respectively. While the system capacity of uplink DG with the assumption </w:t>
      </w:r>
      <w:r>
        <w:t>that</w:t>
      </w:r>
      <w:r>
        <w:rPr>
          <w:rFonts w:hint="eastAsia"/>
        </w:rPr>
        <w:t xml:space="preserve"> only BSR is transmitted after SR is triggered is [4.0] and [0] UEs for 15ms PDB and 10ms PDB, respectively.</w:t>
      </w:r>
    </w:p>
    <w:p>
      <w:pPr>
        <w:numPr>
          <w:ilvl w:val="255"/>
          <w:numId w:val="0"/>
        </w:numPr>
        <w:spacing w:before="120" w:after="120"/>
      </w:pPr>
      <w:r>
        <w:t xml:space="preserve">For more easily comparing these cases </w:t>
      </w:r>
      <w:r>
        <w:rPr>
          <w:rFonts w:hint="eastAsia"/>
        </w:rPr>
        <w:t xml:space="preserve">the </w:t>
      </w:r>
      <w:r>
        <w:t xml:space="preserve">above </w:t>
      </w:r>
      <w:r>
        <w:rPr>
          <w:rFonts w:hint="eastAsia"/>
        </w:rPr>
        <w:t>simulation results</w:t>
      </w:r>
      <w:r>
        <w:t xml:space="preserve"> </w:t>
      </w:r>
      <w:r>
        <w:rPr>
          <w:rFonts w:hint="eastAsia"/>
        </w:rPr>
        <w:t xml:space="preserve">are summarized in </w:t>
      </w:r>
      <w:r>
        <w:t>F</w:t>
      </w:r>
      <w:r>
        <w:rPr>
          <w:rFonts w:hint="eastAsia"/>
        </w:rPr>
        <w:t>igure</w:t>
      </w:r>
      <w:r>
        <w:t xml:space="preserve"> 10</w:t>
      </w:r>
      <w:r>
        <w:rPr>
          <w:rFonts w:hint="eastAsia"/>
        </w:rPr>
        <w:t xml:space="preserve">. </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pPr>
            <w:r>
              <w:drawing>
                <wp:inline distT="0" distB="0" distL="114300" distR="114300">
                  <wp:extent cx="2880360" cy="2160270"/>
                  <wp:effectExtent l="0" t="0" r="0" b="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23"/>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880360" cy="2160270"/>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pic:cNvPicPr>
                        </pic:nvPicPr>
                        <pic:blipFill>
                          <a:blip r:embed="rId24"/>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numPr>
                <w:ilvl w:val="0"/>
                <w:numId w:val="11"/>
              </w:numPr>
              <w:spacing w:before="120" w:after="120"/>
              <w:jc w:val="center"/>
            </w:pPr>
            <w:r>
              <w:rPr>
                <w:rFonts w:hint="eastAsia"/>
              </w:rPr>
              <w:t>20Mbps@60fps</w:t>
            </w:r>
          </w:p>
        </w:tc>
        <w:tc>
          <w:tcPr>
            <w:tcW w:w="4643" w:type="dxa"/>
          </w:tcPr>
          <w:p>
            <w:pPr>
              <w:spacing w:before="120" w:after="120"/>
              <w:jc w:val="center"/>
            </w:pPr>
            <w:r>
              <w:rPr>
                <w:rFonts w:hint="eastAsia"/>
              </w:rPr>
              <w:t>(b) 10Mbps@60fps</w:t>
            </w:r>
          </w:p>
        </w:tc>
      </w:tr>
    </w:tbl>
    <w:p>
      <w:pPr>
        <w:numPr>
          <w:ilvl w:val="255"/>
          <w:numId w:val="0"/>
        </w:numPr>
        <w:spacing w:before="120" w:after="120"/>
        <w:jc w:val="center"/>
      </w:pPr>
      <w:r>
        <w:rPr>
          <w:rFonts w:hint="eastAsia"/>
        </w:rPr>
        <w:t>Figure 10 Capacity summary of Figure 8 and Figure 9</w:t>
      </w:r>
    </w:p>
    <w:p>
      <w:pPr>
        <w:numPr>
          <w:ilvl w:val="255"/>
          <w:numId w:val="0"/>
        </w:numPr>
        <w:spacing w:before="120" w:after="120"/>
      </w:pPr>
      <w:r>
        <w:rPr>
          <w:rFonts w:hint="eastAsia"/>
        </w:rPr>
        <w:t xml:space="preserve">It can be observed in Figure 10 that CG enhancement is beneficial to increase capacity gain compared to </w:t>
      </w:r>
      <w:r>
        <w:t xml:space="preserve">the </w:t>
      </w:r>
      <w:r>
        <w:rPr>
          <w:rFonts w:hint="eastAsia"/>
        </w:rPr>
        <w:t>UL DG</w:t>
      </w:r>
      <w:r>
        <w:t xml:space="preserve"> solutions</w:t>
      </w:r>
      <w:r>
        <w:rPr>
          <w:rFonts w:hint="eastAsia"/>
        </w:rPr>
        <w:t xml:space="preserve"> and legacy CG. Moreover, the capacity gain increases when PDB requirement becomes stringent with the same data rate. And the capacity also increases when data rate increases with the same PDB limitation.</w:t>
      </w:r>
    </w:p>
    <w:p>
      <w:pPr>
        <w:pStyle w:val="51"/>
        <w:spacing w:before="120" w:after="120"/>
        <w:jc w:val="both"/>
        <w:rPr>
          <w:lang w:val="en-US" w:eastAsia="zh-CN"/>
        </w:rPr>
      </w:pPr>
      <w:bookmarkStart w:id="11" w:name="_Toc26217"/>
      <w:r>
        <w:rPr>
          <w:rFonts w:hint="eastAsia"/>
          <w:lang w:val="en-US" w:eastAsia="zh-CN"/>
        </w:rPr>
        <w:t xml:space="preserve">CG enhancement is capable of bringing significant capacity gain compared to UL dynamic grant and legacy configured grant. </w:t>
      </w:r>
      <w:r>
        <w:rPr>
          <w:lang w:val="en-US" w:eastAsia="zh-CN"/>
        </w:rPr>
        <w:t>Moreover,</w:t>
      </w:r>
      <w:r>
        <w:rPr>
          <w:rFonts w:hint="eastAsia"/>
          <w:lang w:val="en-US" w:eastAsia="zh-CN"/>
        </w:rPr>
        <w:t xml:space="preserve"> capacity gain increases when </w:t>
      </w:r>
      <w:r>
        <w:rPr>
          <w:lang w:val="en-US" w:eastAsia="zh-CN"/>
        </w:rPr>
        <w:t xml:space="preserve">the required </w:t>
      </w:r>
      <w:r>
        <w:rPr>
          <w:rFonts w:hint="eastAsia"/>
          <w:lang w:val="en-US" w:eastAsia="zh-CN"/>
        </w:rPr>
        <w:t xml:space="preserve">PDB </w:t>
      </w:r>
      <w:r>
        <w:rPr>
          <w:lang w:val="en-US" w:eastAsia="zh-CN"/>
        </w:rPr>
        <w:t>decreases</w:t>
      </w:r>
      <w:r>
        <w:rPr>
          <w:rFonts w:hint="eastAsia"/>
          <w:lang w:val="en-US" w:eastAsia="zh-CN"/>
        </w:rPr>
        <w:t xml:space="preserve"> or the data rate increases.</w:t>
      </w:r>
      <w:bookmarkEnd w:id="11"/>
    </w:p>
    <w:p>
      <w:pPr>
        <w:pStyle w:val="4"/>
        <w:spacing w:after="120"/>
        <w:ind w:right="210"/>
      </w:pPr>
      <w:r>
        <w:rPr>
          <w:rFonts w:hint="eastAsia" w:eastAsia="宋体"/>
        </w:rPr>
        <w:t>Additional evaluation results for CG enhancement</w:t>
      </w:r>
    </w:p>
    <w:p>
      <w:pPr>
        <w:pStyle w:val="9"/>
        <w:numPr>
          <w:ilvl w:val="0"/>
          <w:numId w:val="12"/>
        </w:numPr>
        <w:spacing w:before="120"/>
        <w:rPr>
          <w:b/>
          <w:bCs/>
          <w:u w:val="single"/>
        </w:rPr>
      </w:pPr>
      <w:r>
        <w:rPr>
          <w:rFonts w:hint="eastAsia"/>
          <w:b/>
          <w:bCs/>
          <w:u w:val="single"/>
        </w:rPr>
        <w:t>Hybrid CG+DG</w:t>
      </w:r>
    </w:p>
    <w:p>
      <w:pPr>
        <w:pStyle w:val="9"/>
        <w:spacing w:before="120"/>
      </w:pPr>
      <w:r>
        <w:rPr>
          <w:rFonts w:hint="eastAsia"/>
        </w:rPr>
        <w:t>In the email discussion of RAN1#110b</w:t>
      </w:r>
      <w:r>
        <w:t>i</w:t>
      </w:r>
      <w:r>
        <w:rPr>
          <w:rFonts w:hint="eastAsia"/>
        </w:rPr>
        <w:t>s-e meeting, some companies proposed that hybrid CG+DG can be one of transmission scheme for carrying XR traffic. In order to make a comprehensive comparison between eCG and other legacy schemes, we provide the evaluation results of hybrid CG+DG based on the following assumptions</w:t>
      </w:r>
      <w:r>
        <w:t>:</w:t>
      </w:r>
    </w:p>
    <w:p>
      <w:pPr>
        <w:numPr>
          <w:ilvl w:val="1"/>
          <w:numId w:val="8"/>
        </w:numPr>
        <w:spacing w:before="120" w:after="120"/>
      </w:pPr>
      <w:r>
        <w:rPr>
          <w:rFonts w:hint="eastAsia"/>
        </w:rPr>
        <w:t>Case 4 Hybrid CG+DG</w:t>
      </w:r>
    </w:p>
    <w:p>
      <w:pPr>
        <w:pStyle w:val="9"/>
        <w:spacing w:before="120"/>
        <w:jc w:val="center"/>
      </w:pPr>
      <w:r>
        <w:drawing>
          <wp:inline distT="0" distB="0" distL="114300" distR="114300">
            <wp:extent cx="5553075" cy="1609090"/>
            <wp:effectExtent l="0" t="0" r="0" b="0"/>
            <wp:docPr id="12" name="图片 12" descr="Hybrid CG+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ybrid CG+DG"/>
                    <pic:cNvPicPr>
                      <a:picLocks noChangeAspect="1"/>
                    </pic:cNvPicPr>
                  </pic:nvPicPr>
                  <pic:blipFill>
                    <a:blip r:embed="rId25"/>
                    <a:stretch>
                      <a:fillRect/>
                    </a:stretch>
                  </pic:blipFill>
                  <pic:spPr>
                    <a:xfrm>
                      <a:off x="0" y="0"/>
                      <a:ext cx="5553075" cy="1609090"/>
                    </a:xfrm>
                    <a:prstGeom prst="rect">
                      <a:avLst/>
                    </a:prstGeom>
                  </pic:spPr>
                </pic:pic>
              </a:graphicData>
            </a:graphic>
          </wp:inline>
        </w:drawing>
      </w:r>
    </w:p>
    <w:p>
      <w:pPr>
        <w:pStyle w:val="9"/>
        <w:spacing w:before="120"/>
        <w:jc w:val="center"/>
      </w:pPr>
      <w:r>
        <w:rPr>
          <w:rFonts w:hint="eastAsia"/>
        </w:rPr>
        <w:t>Figure 11 Hybrid CG+DG</w:t>
      </w:r>
    </w:p>
    <w:p>
      <w:pPr>
        <w:pStyle w:val="9"/>
        <w:spacing w:before="120"/>
      </w:pPr>
      <w:r>
        <w:rPr>
          <w:rFonts w:hint="eastAsia"/>
        </w:rPr>
        <w:t xml:space="preserve">The CG periodicity is assumed to align the packet arrival and CG can be re-initialized. In addition, the CG PUSCH is restricted to </w:t>
      </w:r>
      <w:r>
        <w:t xml:space="preserve">size of </w:t>
      </w:r>
      <w:r>
        <w:rPr>
          <w:rFonts w:hint="eastAsia"/>
        </w:rPr>
        <w:t>100k</w:t>
      </w:r>
      <w:r>
        <w:t xml:space="preserve"> </w:t>
      </w:r>
      <w:r>
        <w:rPr>
          <w:rFonts w:hint="eastAsia"/>
        </w:rPr>
        <w:t>bit</w:t>
      </w:r>
      <w:r>
        <w:t>s</w:t>
      </w:r>
      <w:r>
        <w:rPr>
          <w:rFonts w:hint="eastAsia"/>
        </w:rPr>
        <w:t>. The CG configuration in hybrid CG+DG is legacy CG.</w:t>
      </w:r>
      <w:r>
        <w:t xml:space="preserve"> </w:t>
      </w:r>
      <w:r>
        <w:rPr>
          <w:rFonts w:hint="eastAsia"/>
        </w:rPr>
        <w:t>Moreover, the evaluation assumptions have been listed in Appendix A.</w:t>
      </w:r>
      <w:r>
        <w:t xml:space="preserve"> </w:t>
      </w:r>
    </w:p>
    <w:p>
      <w:pPr>
        <w:spacing w:before="120" w:after="120"/>
      </w:pPr>
      <w:r>
        <w:t>Then t</w:t>
      </w:r>
      <w:r>
        <w:rPr>
          <w:rFonts w:hint="eastAsia"/>
        </w:rPr>
        <w:t xml:space="preserve">he simulation results with different traffic models are shown below: </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92"/>
        <w:gridCol w:w="3292"/>
        <w:gridCol w:w="3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7" w:type="pct"/>
            <w:vAlign w:val="center"/>
          </w:tcPr>
          <w:p>
            <w:pPr>
              <w:widowControl w:val="0"/>
              <w:spacing w:before="120" w:after="120"/>
              <w:jc w:val="center"/>
            </w:pPr>
            <w:r>
              <w:drawing>
                <wp:inline distT="0" distB="0" distL="114300" distR="114300">
                  <wp:extent cx="2160270" cy="1619885"/>
                  <wp:effectExtent l="0" t="0" r="0" b="18415"/>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26"/>
                          <a:stretch>
                            <a:fillRect/>
                          </a:stretch>
                        </pic:blipFill>
                        <pic:spPr>
                          <a:xfrm>
                            <a:off x="0" y="0"/>
                            <a:ext cx="2160270" cy="1619885"/>
                          </a:xfrm>
                          <a:prstGeom prst="rect">
                            <a:avLst/>
                          </a:prstGeom>
                          <a:noFill/>
                          <a:ln>
                            <a:noFill/>
                          </a:ln>
                        </pic:spPr>
                      </pic:pic>
                    </a:graphicData>
                  </a:graphic>
                </wp:inline>
              </w:drawing>
            </w:r>
          </w:p>
        </w:tc>
        <w:tc>
          <w:tcPr>
            <w:tcW w:w="1831" w:type="pct"/>
            <w:vAlign w:val="center"/>
          </w:tcPr>
          <w:p>
            <w:pPr>
              <w:widowControl w:val="0"/>
              <w:spacing w:before="120" w:after="120"/>
              <w:jc w:val="center"/>
            </w:pPr>
            <w:r>
              <w:drawing>
                <wp:inline distT="0" distB="0" distL="114300" distR="114300">
                  <wp:extent cx="2159635" cy="1619885"/>
                  <wp:effectExtent l="0" t="0" r="0" b="18415"/>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27"/>
                          <a:stretch>
                            <a:fillRect/>
                          </a:stretch>
                        </pic:blipFill>
                        <pic:spPr>
                          <a:xfrm>
                            <a:off x="0" y="0"/>
                            <a:ext cx="2159635" cy="1619885"/>
                          </a:xfrm>
                          <a:prstGeom prst="rect">
                            <a:avLst/>
                          </a:prstGeom>
                          <a:noFill/>
                          <a:ln>
                            <a:noFill/>
                          </a:ln>
                        </pic:spPr>
                      </pic:pic>
                    </a:graphicData>
                  </a:graphic>
                </wp:inline>
              </w:drawing>
            </w:r>
          </w:p>
        </w:tc>
        <w:tc>
          <w:tcPr>
            <w:tcW w:w="1831" w:type="pct"/>
            <w:vAlign w:val="center"/>
          </w:tcPr>
          <w:p>
            <w:pPr>
              <w:keepNext/>
              <w:widowControl w:val="0"/>
              <w:spacing w:before="120" w:after="120"/>
            </w:pPr>
            <w:r>
              <w:drawing>
                <wp:inline distT="0" distB="0" distL="114300" distR="114300">
                  <wp:extent cx="2159635" cy="1619885"/>
                  <wp:effectExtent l="0" t="0" r="0" b="18415"/>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28"/>
                          <a:stretch>
                            <a:fillRect/>
                          </a:stretch>
                        </pic:blipFill>
                        <pic:spPr>
                          <a:xfrm>
                            <a:off x="0" y="0"/>
                            <a:ext cx="2159635" cy="161988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7" w:type="pct"/>
            <w:vAlign w:val="center"/>
          </w:tcPr>
          <w:p>
            <w:pPr>
              <w:widowControl w:val="0"/>
              <w:spacing w:before="120" w:after="120"/>
              <w:jc w:val="center"/>
              <w:rPr>
                <w:lang w:val="en-GB"/>
              </w:rPr>
            </w:pPr>
            <w:r>
              <w:rPr>
                <w:rFonts w:hint="eastAsia"/>
              </w:rPr>
              <w:t>(</w:t>
            </w:r>
            <w:r>
              <w:rPr>
                <w:rFonts w:hint="eastAsia"/>
                <w:lang w:val="en-GB"/>
              </w:rPr>
              <w:t xml:space="preserve">a) </w:t>
            </w:r>
            <w:r>
              <w:rPr>
                <w:rFonts w:hint="eastAsia"/>
              </w:rPr>
              <w:t>Traffic model 1: 20Mbps@60fps, 30ms</w:t>
            </w:r>
            <w:r>
              <w:t xml:space="preserve"> PDB</w:t>
            </w:r>
          </w:p>
        </w:tc>
        <w:tc>
          <w:tcPr>
            <w:tcW w:w="1831" w:type="pct"/>
            <w:vAlign w:val="center"/>
          </w:tcPr>
          <w:p>
            <w:pPr>
              <w:widowControl w:val="0"/>
              <w:spacing w:before="120" w:after="120"/>
              <w:jc w:val="center"/>
              <w:rPr>
                <w:lang w:val="en-GB"/>
              </w:rPr>
            </w:pPr>
            <w:r>
              <w:rPr>
                <w:rFonts w:hint="eastAsia"/>
              </w:rPr>
              <w:t>(</w:t>
            </w:r>
            <w:r>
              <w:rPr>
                <w:rFonts w:hint="eastAsia"/>
                <w:lang w:val="en-GB"/>
              </w:rPr>
              <w:t xml:space="preserve">b) </w:t>
            </w:r>
            <w:r>
              <w:rPr>
                <w:rFonts w:hint="eastAsia"/>
              </w:rPr>
              <w:t>Traffic model 2: 20Mbps@60fps, 15ms</w:t>
            </w:r>
            <w:r>
              <w:t xml:space="preserve"> PDB</w:t>
            </w:r>
          </w:p>
        </w:tc>
        <w:tc>
          <w:tcPr>
            <w:tcW w:w="1831" w:type="pct"/>
            <w:vAlign w:val="center"/>
          </w:tcPr>
          <w:p>
            <w:pPr>
              <w:keepNext/>
              <w:widowControl w:val="0"/>
              <w:spacing w:before="120" w:after="120"/>
              <w:jc w:val="center"/>
              <w:rPr>
                <w:lang w:val="en-GB"/>
              </w:rPr>
            </w:pPr>
            <w:r>
              <w:rPr>
                <w:rFonts w:hint="eastAsia"/>
              </w:rPr>
              <w:t>(</w:t>
            </w:r>
            <w:r>
              <w:rPr>
                <w:rFonts w:hint="eastAsia"/>
                <w:lang w:val="en-GB"/>
              </w:rPr>
              <w:t xml:space="preserve">c) </w:t>
            </w:r>
            <w:r>
              <w:rPr>
                <w:rFonts w:hint="eastAsia"/>
              </w:rPr>
              <w:t>Traffic model 3:  20Mbps@60fps, 10ms</w:t>
            </w:r>
            <w:r>
              <w:t xml:space="preserve"> PDB</w:t>
            </w:r>
          </w:p>
        </w:tc>
      </w:tr>
    </w:tbl>
    <w:p>
      <w:pPr>
        <w:numPr>
          <w:ilvl w:val="255"/>
          <w:numId w:val="0"/>
        </w:numPr>
        <w:spacing w:before="120" w:after="120"/>
        <w:jc w:val="center"/>
      </w:pPr>
      <w:r>
        <w:rPr>
          <w:rFonts w:hint="eastAsia"/>
        </w:rPr>
        <w:t>Figure 12 Capacity comparison among DG, hybrid CG+DG and eCG for 20Mbps@60fps traffic model with different PDB in Dense Urban scenario</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643" w:type="dxa"/>
          </w:tcPr>
          <w:p>
            <w:pPr>
              <w:spacing w:before="120" w:after="120"/>
              <w:jc w:val="center"/>
            </w:pPr>
            <w:r>
              <w:drawing>
                <wp:inline distT="0" distB="0" distL="114300" distR="114300">
                  <wp:extent cx="2231390" cy="1673860"/>
                  <wp:effectExtent l="0" t="0" r="0" b="254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pic:cNvPicPr>
                            <a:picLocks noChangeAspect="1"/>
                          </pic:cNvPicPr>
                        </pic:nvPicPr>
                        <pic:blipFill>
                          <a:blip r:embed="rId29"/>
                          <a:stretch>
                            <a:fillRect/>
                          </a:stretch>
                        </pic:blipFill>
                        <pic:spPr>
                          <a:xfrm>
                            <a:off x="0" y="0"/>
                            <a:ext cx="2243162" cy="1682372"/>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280920" cy="1710690"/>
                  <wp:effectExtent l="0" t="0" r="0" b="3810"/>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
                          <pic:cNvPicPr>
                            <a:picLocks noChangeAspect="1"/>
                          </pic:cNvPicPr>
                        </pic:nvPicPr>
                        <pic:blipFill>
                          <a:blip r:embed="rId30"/>
                          <a:stretch>
                            <a:fillRect/>
                          </a:stretch>
                        </pic:blipFill>
                        <pic:spPr>
                          <a:xfrm>
                            <a:off x="0" y="0"/>
                            <a:ext cx="2298150" cy="1723612"/>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10"/>
              </w:numPr>
              <w:spacing w:before="120" w:after="120"/>
              <w:jc w:val="center"/>
            </w:pPr>
            <w:r>
              <w:rPr>
                <w:rFonts w:hint="eastAsia"/>
              </w:rPr>
              <w:t>Traffic model 4: 10Mbps@60fps, 15ms</w:t>
            </w:r>
          </w:p>
        </w:tc>
        <w:tc>
          <w:tcPr>
            <w:tcW w:w="4643" w:type="dxa"/>
          </w:tcPr>
          <w:p>
            <w:pPr>
              <w:spacing w:before="120" w:after="120"/>
              <w:jc w:val="center"/>
            </w:pPr>
            <w:r>
              <w:rPr>
                <w:rFonts w:hint="eastAsia"/>
              </w:rPr>
              <w:t>(b) Traffic model 5: 10Mbps@60fps, 10ms</w:t>
            </w:r>
          </w:p>
        </w:tc>
      </w:tr>
    </w:tbl>
    <w:p>
      <w:pPr>
        <w:numPr>
          <w:ilvl w:val="255"/>
          <w:numId w:val="0"/>
        </w:numPr>
        <w:spacing w:before="120" w:after="120"/>
        <w:jc w:val="center"/>
      </w:pPr>
      <w:r>
        <w:rPr>
          <w:rFonts w:hint="eastAsia"/>
        </w:rPr>
        <w:t>Figure 13 Capacity comparison among DG, hybrid CG+DG and eCG for 10Mbps@60fps traffic model with different PDB in Dense Urban scenario</w:t>
      </w:r>
    </w:p>
    <w:p>
      <w:pPr>
        <w:numPr>
          <w:ilvl w:val="255"/>
          <w:numId w:val="0"/>
        </w:numPr>
        <w:spacing w:before="120" w:after="120"/>
      </w:pPr>
      <w:r>
        <w:t xml:space="preserve">Then </w:t>
      </w:r>
      <w:r>
        <w:rPr>
          <w:rFonts w:hint="eastAsia"/>
        </w:rPr>
        <w:t xml:space="preserve">the </w:t>
      </w:r>
      <w:r>
        <w:t xml:space="preserve">above </w:t>
      </w:r>
      <w:r>
        <w:rPr>
          <w:rFonts w:hint="eastAsia"/>
        </w:rPr>
        <w:t>simulation results</w:t>
      </w:r>
      <w:r>
        <w:t xml:space="preserve"> </w:t>
      </w:r>
      <w:r>
        <w:rPr>
          <w:rFonts w:hint="eastAsia"/>
        </w:rPr>
        <w:t xml:space="preserve">are summarized in </w:t>
      </w:r>
      <w:r>
        <w:t>F</w:t>
      </w:r>
      <w:r>
        <w:rPr>
          <w:rFonts w:hint="eastAsia"/>
        </w:rPr>
        <w:t xml:space="preserve">igure 14. </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pPr>
            <w:r>
              <w:drawing>
                <wp:inline distT="0" distB="0" distL="114300" distR="114300">
                  <wp:extent cx="2880360" cy="216027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31"/>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880360" cy="216027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32"/>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643" w:type="dxa"/>
          </w:tcPr>
          <w:p>
            <w:pPr>
              <w:numPr>
                <w:ilvl w:val="0"/>
                <w:numId w:val="13"/>
              </w:numPr>
              <w:spacing w:before="120" w:after="120"/>
              <w:jc w:val="center"/>
            </w:pPr>
            <w:r>
              <w:rPr>
                <w:rFonts w:hint="eastAsia"/>
              </w:rPr>
              <w:t>20Mbps@60fps</w:t>
            </w:r>
          </w:p>
        </w:tc>
        <w:tc>
          <w:tcPr>
            <w:tcW w:w="4643" w:type="dxa"/>
          </w:tcPr>
          <w:p>
            <w:pPr>
              <w:spacing w:before="120" w:after="120"/>
              <w:jc w:val="center"/>
            </w:pPr>
            <w:r>
              <w:rPr>
                <w:rFonts w:hint="eastAsia"/>
              </w:rPr>
              <w:t>(b) 10Mbps@60fps</w:t>
            </w:r>
          </w:p>
        </w:tc>
      </w:tr>
    </w:tbl>
    <w:p>
      <w:pPr>
        <w:numPr>
          <w:ilvl w:val="255"/>
          <w:numId w:val="0"/>
        </w:numPr>
        <w:spacing w:before="120" w:after="120"/>
        <w:jc w:val="center"/>
      </w:pPr>
      <w:r>
        <w:rPr>
          <w:rFonts w:hint="eastAsia"/>
        </w:rPr>
        <w:t>Figure 14 Capacity summary of Figure 12 and Figure 13</w:t>
      </w:r>
    </w:p>
    <w:p>
      <w:pPr>
        <w:pStyle w:val="9"/>
        <w:spacing w:before="120"/>
      </w:pPr>
      <w:r>
        <w:rPr>
          <w:rFonts w:hint="eastAsia"/>
        </w:rPr>
        <w:t xml:space="preserve">According to the summary of capacity performance in Figure </w:t>
      </w:r>
      <w:r>
        <w:t>14</w:t>
      </w:r>
      <w:r>
        <w:rPr>
          <w:rFonts w:hint="eastAsia"/>
        </w:rPr>
        <w:t xml:space="preserve">, hybrid CG+DG provides marginal capacity performance gain compared to DG baseline. Although hybrid CG+DG is capable of reducing the scheduling delay caused by SR-BSR-PUSCH procedure, hybrid CG+DG </w:t>
      </w:r>
      <w:r>
        <w:t>may</w:t>
      </w:r>
      <w:r>
        <w:rPr>
          <w:rFonts w:hint="eastAsia"/>
        </w:rPr>
        <w:t xml:space="preserve"> cause resource waste </w:t>
      </w:r>
      <w:r>
        <w:t>in some cases (e.g., as shown in Figure 11, the UL slot before the Downlink slot/symbols at the time when dynamic UL grant is transmitted, can’t be scheduled)</w:t>
      </w:r>
      <w:r>
        <w:rPr>
          <w:rFonts w:hint="eastAsia"/>
        </w:rPr>
        <w:t>, which results in capacity performance loss compared to eCG.</w:t>
      </w:r>
    </w:p>
    <w:p>
      <w:pPr>
        <w:pStyle w:val="51"/>
        <w:spacing w:before="120" w:after="120"/>
        <w:jc w:val="both"/>
        <w:rPr>
          <w:lang w:val="en-US" w:eastAsia="zh-CN"/>
        </w:rPr>
      </w:pPr>
      <w:bookmarkStart w:id="12" w:name="_Toc1999"/>
      <w:r>
        <w:rPr>
          <w:rFonts w:hint="eastAsia"/>
          <w:lang w:val="en-US" w:eastAsia="zh-CN"/>
        </w:rPr>
        <w:t>The capacity performance of hybrid CG+DG is slight</w:t>
      </w:r>
      <w:r>
        <w:rPr>
          <w:lang w:val="en-US" w:eastAsia="zh-CN"/>
        </w:rPr>
        <w:t>ly</w:t>
      </w:r>
      <w:r>
        <w:rPr>
          <w:rFonts w:hint="eastAsia"/>
          <w:lang w:val="en-US" w:eastAsia="zh-CN"/>
        </w:rPr>
        <w:t xml:space="preserve"> better than that of DG baseline</w:t>
      </w:r>
      <w:r>
        <w:rPr>
          <w:lang w:val="en-US" w:eastAsia="zh-CN"/>
        </w:rPr>
        <w:t>.</w:t>
      </w:r>
      <w:bookmarkEnd w:id="12"/>
    </w:p>
    <w:p>
      <w:pPr>
        <w:pStyle w:val="51"/>
        <w:spacing w:before="120" w:after="120"/>
        <w:jc w:val="both"/>
        <w:rPr>
          <w:lang w:val="en-US" w:eastAsia="zh-CN"/>
        </w:rPr>
      </w:pPr>
      <w:bookmarkStart w:id="13" w:name="_Toc16222"/>
      <w:r>
        <w:rPr>
          <w:rFonts w:hint="eastAsia"/>
          <w:lang w:val="en-US" w:eastAsia="zh-CN"/>
        </w:rPr>
        <w:t>The capacity performance of eCG outperforms that of hybrid CG+DG.</w:t>
      </w:r>
      <w:bookmarkEnd w:id="13"/>
    </w:p>
    <w:p>
      <w:pPr>
        <w:pStyle w:val="9"/>
        <w:numPr>
          <w:ilvl w:val="0"/>
          <w:numId w:val="12"/>
        </w:numPr>
        <w:spacing w:before="120"/>
        <w:rPr>
          <w:b/>
          <w:bCs/>
          <w:u w:val="single"/>
        </w:rPr>
      </w:pPr>
      <w:r>
        <w:rPr>
          <w:rFonts w:hint="eastAsia"/>
          <w:b/>
          <w:bCs/>
          <w:u w:val="single"/>
        </w:rPr>
        <w:t>BSR transmission reliability</w:t>
      </w:r>
    </w:p>
    <w:p>
      <w:pPr>
        <w:pStyle w:val="9"/>
        <w:spacing w:before="120"/>
      </w:pPr>
      <w:r>
        <w:rPr>
          <w:rFonts w:hint="eastAsia"/>
        </w:rPr>
        <w:t xml:space="preserve">In Chapter 2.3.1, </w:t>
      </w:r>
      <w:r>
        <w:t>the</w:t>
      </w:r>
      <w:r>
        <w:rPr>
          <w:rFonts w:hint="eastAsia"/>
        </w:rPr>
        <w:t xml:space="preserve"> evaluation assumptions are ideal for BSR transmission, without failure transmission. </w:t>
      </w:r>
      <w:r>
        <w:t>However, t</w:t>
      </w:r>
      <w:r>
        <w:rPr>
          <w:rFonts w:hint="eastAsia"/>
        </w:rPr>
        <w:t xml:space="preserve">owards the transmission schemes relying on BSR signaling, including e.g., dynamic grant, hybrid CG+DG and so on, their capacity performances are relevant to BSR reliability. </w:t>
      </w:r>
    </w:p>
    <w:p>
      <w:pPr>
        <w:pStyle w:val="9"/>
        <w:spacing w:before="120"/>
      </w:pPr>
      <w:r>
        <w:rPr>
          <w:rFonts w:hint="eastAsia"/>
        </w:rPr>
        <w:t xml:space="preserve">For </w:t>
      </w:r>
      <w:r>
        <w:t>exapmle</w:t>
      </w:r>
      <w:r>
        <w:rPr>
          <w:rFonts w:hint="eastAsia"/>
        </w:rPr>
        <w:t xml:space="preserve">, if BSR fails to </w:t>
      </w:r>
      <w:r>
        <w:t>be received</w:t>
      </w:r>
      <w:r>
        <w:rPr>
          <w:rFonts w:hint="eastAsia"/>
        </w:rPr>
        <w:t>, gNB is not able to schedule the following transport block</w:t>
      </w:r>
      <w:r>
        <w:t>s</w:t>
      </w:r>
      <w:r>
        <w:rPr>
          <w:rFonts w:hint="eastAsia"/>
        </w:rPr>
        <w:t xml:space="preserve">, </w:t>
      </w:r>
      <w:r>
        <w:t>thus</w:t>
      </w:r>
      <w:r>
        <w:rPr>
          <w:rFonts w:hint="eastAsia"/>
        </w:rPr>
        <w:t xml:space="preserve"> causes large transmission delay. </w:t>
      </w:r>
      <w:r>
        <w:t>More specifically,</w:t>
      </w:r>
      <w:r>
        <w:rPr>
          <w:rFonts w:hint="eastAsia"/>
        </w:rPr>
        <w:t xml:space="preserve"> as illustrated in Figure </w:t>
      </w:r>
      <w:r>
        <w:t>15</w:t>
      </w:r>
      <w:r>
        <w:rPr>
          <w:rFonts w:hint="eastAsia"/>
        </w:rPr>
        <w:t xml:space="preserve">, if the first transport block (data + BSR signaling) fails to be </w:t>
      </w:r>
      <w:r>
        <w:t>received</w:t>
      </w:r>
      <w:r>
        <w:rPr>
          <w:rFonts w:hint="eastAsia"/>
        </w:rPr>
        <w:t xml:space="preserve"> correctly, implying gNB is not aware of the packet size in </w:t>
      </w:r>
      <w:r>
        <w:t xml:space="preserve">the UE </w:t>
      </w:r>
      <w:r>
        <w:rPr>
          <w:rFonts w:hint="eastAsia"/>
        </w:rPr>
        <w:t xml:space="preserve">buffer, </w:t>
      </w:r>
      <w:r>
        <w:t xml:space="preserve">therefore </w:t>
      </w:r>
      <w:r>
        <w:rPr>
          <w:rFonts w:hint="eastAsia"/>
        </w:rPr>
        <w:t xml:space="preserve">gNB cannot schedule </w:t>
      </w:r>
      <w:r>
        <w:t xml:space="preserve">transmission </w:t>
      </w:r>
      <w:r>
        <w:rPr>
          <w:rFonts w:hint="eastAsia"/>
        </w:rPr>
        <w:t>for this packet</w:t>
      </w:r>
      <w:r>
        <w:t xml:space="preserve"> immediately.</w:t>
      </w:r>
      <w:r>
        <w:rPr>
          <w:rFonts w:hint="eastAsia"/>
        </w:rPr>
        <w:t xml:space="preserve"> This leads to </w:t>
      </w:r>
      <w:r>
        <w:t xml:space="preserve">certain </w:t>
      </w:r>
      <w:r>
        <w:rPr>
          <w:rFonts w:hint="eastAsia"/>
        </w:rPr>
        <w:t>transmission delay</w:t>
      </w:r>
      <w:r>
        <w:t xml:space="preserve"> as shown in Figure 15.</w:t>
      </w:r>
      <w:r>
        <w:rPr>
          <w:rFonts w:hint="eastAsia"/>
        </w:rPr>
        <w:t xml:space="preserve"> </w:t>
      </w:r>
    </w:p>
    <w:p>
      <w:pPr>
        <w:pStyle w:val="9"/>
        <w:spacing w:before="120"/>
        <w:jc w:val="center"/>
      </w:pPr>
      <w:r>
        <w:drawing>
          <wp:inline distT="0" distB="0" distL="114300" distR="114300">
            <wp:extent cx="5266690" cy="1781175"/>
            <wp:effectExtent l="0" t="0" r="0" b="8890"/>
            <wp:docPr id="187" name="图片 187" descr="BSR传输错误的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7" descr="BSR传输错误的情况"/>
                    <pic:cNvPicPr>
                      <a:picLocks noChangeAspect="1"/>
                    </pic:cNvPicPr>
                  </pic:nvPicPr>
                  <pic:blipFill>
                    <a:blip r:embed="rId33"/>
                    <a:stretch>
                      <a:fillRect/>
                    </a:stretch>
                  </pic:blipFill>
                  <pic:spPr>
                    <a:xfrm>
                      <a:off x="0" y="0"/>
                      <a:ext cx="5266690" cy="1781175"/>
                    </a:xfrm>
                    <a:prstGeom prst="rect">
                      <a:avLst/>
                    </a:prstGeom>
                  </pic:spPr>
                </pic:pic>
              </a:graphicData>
            </a:graphic>
          </wp:inline>
        </w:drawing>
      </w:r>
    </w:p>
    <w:p>
      <w:pPr>
        <w:pStyle w:val="9"/>
        <w:spacing w:before="120"/>
        <w:jc w:val="center"/>
      </w:pPr>
      <w:r>
        <w:rPr>
          <w:rFonts w:hint="eastAsia"/>
        </w:rPr>
        <w:t>Figure 15 The impact of BSR failure transmission</w:t>
      </w:r>
    </w:p>
    <w:p>
      <w:pPr>
        <w:pStyle w:val="9"/>
        <w:spacing w:before="120"/>
      </w:pPr>
      <w:r>
        <w:rPr>
          <w:rFonts w:hint="eastAsia"/>
        </w:rPr>
        <w:t xml:space="preserve">To </w:t>
      </w:r>
      <w:r>
        <w:t>evaluate</w:t>
      </w:r>
      <w:r>
        <w:rPr>
          <w:rFonts w:hint="eastAsia"/>
        </w:rPr>
        <w:t xml:space="preserve"> the impact of BSR reliability, we introduce the BSR transmission model in </w:t>
      </w:r>
      <w:r>
        <w:t>following</w:t>
      </w:r>
      <w:r>
        <w:rPr>
          <w:rFonts w:hint="eastAsia"/>
        </w:rPr>
        <w:t xml:space="preserve"> simulation, and provide the evaluation results considering BSR reliability. And </w:t>
      </w:r>
      <w:r>
        <w:t>t</w:t>
      </w:r>
      <w:r>
        <w:rPr>
          <w:rFonts w:hint="eastAsia"/>
        </w:rPr>
        <w:t>he evaluation results with traffic model 1: 20Mbps@60fps, 30ms, and traffic model 2: 20Mbps@60fps, 15ms are shown below:</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643" w:type="dxa"/>
          </w:tcPr>
          <w:p>
            <w:pPr>
              <w:spacing w:before="120" w:after="120"/>
            </w:pPr>
            <w:r>
              <w:drawing>
                <wp:inline distT="0" distB="0" distL="114300" distR="114300">
                  <wp:extent cx="2880360" cy="2160270"/>
                  <wp:effectExtent l="0" t="0" r="0" b="1143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34"/>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880360" cy="2160270"/>
                  <wp:effectExtent l="0" t="0" r="0" b="1143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35"/>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14"/>
              </w:numPr>
              <w:spacing w:before="120" w:after="120"/>
              <w:jc w:val="center"/>
            </w:pPr>
            <w:r>
              <w:rPr>
                <w:rFonts w:hint="eastAsia"/>
              </w:rPr>
              <w:t>Traffic model 1: 20Mbps@60fps, 30ms</w:t>
            </w:r>
          </w:p>
        </w:tc>
        <w:tc>
          <w:tcPr>
            <w:tcW w:w="4643" w:type="dxa"/>
          </w:tcPr>
          <w:p>
            <w:pPr>
              <w:spacing w:before="120" w:after="120"/>
              <w:jc w:val="center"/>
            </w:pPr>
            <w:r>
              <w:rPr>
                <w:rFonts w:hint="eastAsia"/>
              </w:rPr>
              <w:t>(b) Traffic model 2: 20Mbps@60fps, 15ms</w:t>
            </w:r>
          </w:p>
        </w:tc>
      </w:tr>
    </w:tbl>
    <w:p>
      <w:pPr>
        <w:pStyle w:val="9"/>
        <w:spacing w:before="120"/>
        <w:jc w:val="center"/>
      </w:pPr>
      <w:r>
        <w:rPr>
          <w:rFonts w:hint="eastAsia"/>
        </w:rPr>
        <w:t xml:space="preserve">Figure 16 Capacity comparison </w:t>
      </w:r>
      <w:r>
        <w:t>w/wo</w:t>
      </w:r>
      <w:r>
        <w:rPr>
          <w:rFonts w:hint="eastAsia"/>
        </w:rPr>
        <w:t xml:space="preserve"> BSR error</w:t>
      </w:r>
      <w:r>
        <w:t xml:space="preserve"> for DG baseline</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4643" w:type="dxa"/>
          </w:tcPr>
          <w:p>
            <w:pPr>
              <w:spacing w:before="120" w:after="120"/>
            </w:pPr>
            <w:r>
              <w:drawing>
                <wp:inline distT="0" distB="0" distL="114300" distR="114300">
                  <wp:extent cx="2880360" cy="2160270"/>
                  <wp:effectExtent l="0" t="0" r="0" b="1143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36"/>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880360" cy="2160270"/>
                  <wp:effectExtent l="0" t="0" r="0" b="1143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37"/>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14"/>
              </w:numPr>
              <w:spacing w:before="120" w:after="120"/>
              <w:jc w:val="center"/>
            </w:pPr>
            <w:r>
              <w:rPr>
                <w:rFonts w:hint="eastAsia"/>
              </w:rPr>
              <w:t>Traffic model 1: 20Mbps@60fps, 30ms</w:t>
            </w:r>
          </w:p>
        </w:tc>
        <w:tc>
          <w:tcPr>
            <w:tcW w:w="4643" w:type="dxa"/>
          </w:tcPr>
          <w:p>
            <w:pPr>
              <w:spacing w:before="120" w:after="120"/>
              <w:jc w:val="center"/>
            </w:pPr>
            <w:r>
              <w:rPr>
                <w:rFonts w:hint="eastAsia"/>
              </w:rPr>
              <w:t>(b) Traffic model 2: 20Mbps@60fps, 15ms</w:t>
            </w:r>
          </w:p>
        </w:tc>
      </w:tr>
    </w:tbl>
    <w:p>
      <w:pPr>
        <w:pStyle w:val="9"/>
        <w:spacing w:before="120"/>
        <w:jc w:val="center"/>
      </w:pPr>
      <w:r>
        <w:rPr>
          <w:rFonts w:hint="eastAsia"/>
        </w:rPr>
        <w:t xml:space="preserve">Figure 17 Capacity comparison </w:t>
      </w:r>
      <w:r>
        <w:t>w/wo</w:t>
      </w:r>
      <w:r>
        <w:rPr>
          <w:rFonts w:hint="eastAsia"/>
        </w:rPr>
        <w:t xml:space="preserve"> BSR error</w:t>
      </w:r>
      <w:r>
        <w:t xml:space="preserve"> for </w:t>
      </w:r>
      <w:r>
        <w:rPr>
          <w:rFonts w:hint="eastAsia"/>
        </w:rPr>
        <w:t>Hybrid CG+DG</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4643" w:type="dxa"/>
          </w:tcPr>
          <w:p>
            <w:pPr>
              <w:spacing w:before="120" w:after="120"/>
            </w:pPr>
            <w:r>
              <w:drawing>
                <wp:inline distT="0" distB="0" distL="114300" distR="114300">
                  <wp:extent cx="2880360" cy="216027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38"/>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pPr>
            <w:r>
              <w:drawing>
                <wp:inline distT="0" distB="0" distL="114300" distR="114300">
                  <wp:extent cx="2880360" cy="216027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39"/>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15"/>
              </w:numPr>
              <w:spacing w:before="120" w:after="120"/>
              <w:jc w:val="center"/>
            </w:pPr>
            <w:r>
              <w:rPr>
                <w:rFonts w:hint="eastAsia"/>
              </w:rPr>
              <w:t>Traffic model 1: 20Mbps@60fps, 30ms</w:t>
            </w:r>
          </w:p>
        </w:tc>
        <w:tc>
          <w:tcPr>
            <w:tcW w:w="4643" w:type="dxa"/>
          </w:tcPr>
          <w:p>
            <w:pPr>
              <w:spacing w:before="120" w:after="120"/>
              <w:jc w:val="center"/>
            </w:pPr>
            <w:r>
              <w:rPr>
                <w:rFonts w:hint="eastAsia"/>
              </w:rPr>
              <w:t>(b) Traffic model 2: 20Mbps@60fps, 15ms</w:t>
            </w:r>
          </w:p>
        </w:tc>
      </w:tr>
    </w:tbl>
    <w:p>
      <w:pPr>
        <w:pStyle w:val="9"/>
        <w:spacing w:before="120"/>
        <w:jc w:val="center"/>
      </w:pPr>
      <w:r>
        <w:rPr>
          <w:rFonts w:hint="eastAsia"/>
        </w:rPr>
        <w:t xml:space="preserve">Figure 18 Capacity summary of Figure 16 and Figure 17 </w:t>
      </w:r>
    </w:p>
    <w:p>
      <w:pPr>
        <w:pStyle w:val="9"/>
        <w:spacing w:before="120"/>
      </w:pPr>
      <w:r>
        <w:rPr>
          <w:rFonts w:hint="eastAsia"/>
        </w:rPr>
        <w:t xml:space="preserve">According to the capacity performance in Figure 18, it can be observed that the capacity loss occurs when considering the BSR transmission </w:t>
      </w:r>
      <w:r>
        <w:t>error</w:t>
      </w:r>
      <w:r>
        <w:rPr>
          <w:rFonts w:hint="eastAsia"/>
        </w:rPr>
        <w:t xml:space="preserve">, especially for the XR traffic with stringent PDB. </w:t>
      </w:r>
    </w:p>
    <w:p>
      <w:pPr>
        <w:pStyle w:val="51"/>
        <w:spacing w:before="120" w:after="120"/>
        <w:jc w:val="both"/>
        <w:rPr>
          <w:lang w:val="en-US" w:eastAsia="zh-CN"/>
        </w:rPr>
      </w:pPr>
      <w:bookmarkStart w:id="14" w:name="_Toc3099"/>
      <w:r>
        <w:rPr>
          <w:rFonts w:hint="eastAsia"/>
          <w:lang w:val="en-US" w:eastAsia="zh-CN"/>
        </w:rPr>
        <w:t xml:space="preserve">For the transmission schemes </w:t>
      </w:r>
      <w:r>
        <w:rPr>
          <w:lang w:val="en-US" w:eastAsia="zh-CN"/>
        </w:rPr>
        <w:t>that rely</w:t>
      </w:r>
      <w:r>
        <w:rPr>
          <w:rFonts w:hint="eastAsia"/>
          <w:lang w:val="en-US" w:eastAsia="zh-CN"/>
        </w:rPr>
        <w:t xml:space="preserve"> on BSR signaling, including e.g., dynamic grant, hybrid CG+DG, the BSR failure transmission enlarges the transmission delay and causes performance loss, especially for the traffic with stringent PDB.</w:t>
      </w:r>
      <w:bookmarkEnd w:id="14"/>
    </w:p>
    <w:p>
      <w:pPr>
        <w:spacing w:before="120" w:after="120"/>
      </w:pPr>
      <w:r>
        <w:rPr>
          <w:rFonts w:hint="eastAsia"/>
        </w:rPr>
        <w:t>In addition, BSR processing delay</w:t>
      </w:r>
      <w:r>
        <w:t>(e.g.,both in L1 and L2)</w:t>
      </w:r>
      <w:r>
        <w:rPr>
          <w:rFonts w:hint="eastAsia"/>
        </w:rPr>
        <w:t xml:space="preserve"> should be also considered. In </w:t>
      </w:r>
      <w:r>
        <w:t>fact</w:t>
      </w:r>
      <w:r>
        <w:rPr>
          <w:rFonts w:hint="eastAsia"/>
        </w:rPr>
        <w:t>, gNB</w:t>
      </w:r>
      <w:r>
        <w:t xml:space="preserve"> may need</w:t>
      </w:r>
      <w:r>
        <w:rPr>
          <w:rFonts w:hint="eastAsia"/>
        </w:rPr>
        <w:t xml:space="preserve"> time</w:t>
      </w:r>
      <w:r>
        <w:t xml:space="preserve"> to decode the BSR information from MAC PDU that contains BSR.</w:t>
      </w:r>
      <w:r>
        <w:rPr>
          <w:rFonts w:hint="eastAsia"/>
        </w:rPr>
        <w:t xml:space="preserve"> </w:t>
      </w:r>
      <w:r>
        <w:t>Therefor</w:t>
      </w:r>
      <w:r>
        <w:rPr>
          <w:rFonts w:hint="eastAsia"/>
        </w:rPr>
        <w:t>e</w:t>
      </w:r>
      <w:r>
        <w:t>,</w:t>
      </w:r>
      <w:r>
        <w:rPr>
          <w:rFonts w:hint="eastAsia"/>
        </w:rPr>
        <w:t xml:space="preserve"> </w:t>
      </w:r>
      <w:r>
        <w:t>i</w:t>
      </w:r>
      <w:r>
        <w:rPr>
          <w:rFonts w:hint="eastAsia"/>
        </w:rPr>
        <w:t xml:space="preserve">f the </w:t>
      </w:r>
      <w:r>
        <w:t xml:space="preserve">BSR </w:t>
      </w:r>
      <w:r>
        <w:rPr>
          <w:rFonts w:hint="eastAsia"/>
        </w:rPr>
        <w:t xml:space="preserve">processing delay is considered, the </w:t>
      </w:r>
      <w:r>
        <w:t xml:space="preserve">overall </w:t>
      </w:r>
      <w:r>
        <w:rPr>
          <w:rFonts w:hint="eastAsia"/>
        </w:rPr>
        <w:t xml:space="preserve">scheduling delay </w:t>
      </w:r>
      <w:r>
        <w:t xml:space="preserve">will </w:t>
      </w:r>
      <w:r>
        <w:rPr>
          <w:rFonts w:hint="eastAsia"/>
        </w:rPr>
        <w:t xml:space="preserve">increase, and the capacity performance </w:t>
      </w:r>
      <w:r>
        <w:t>will</w:t>
      </w:r>
      <w:r>
        <w:rPr>
          <w:rFonts w:hint="eastAsia"/>
        </w:rPr>
        <w:t xml:space="preserve"> be worse.</w:t>
      </w:r>
    </w:p>
    <w:p>
      <w:pPr>
        <w:pStyle w:val="2"/>
        <w:spacing w:before="120" w:after="120"/>
        <w:ind w:left="0"/>
      </w:pPr>
      <w:r>
        <w:rPr>
          <w:rFonts w:hint="eastAsia" w:eastAsia="宋体"/>
        </w:rPr>
        <w:t xml:space="preserve">BSR enhancement </w:t>
      </w:r>
    </w:p>
    <w:p>
      <w:pPr>
        <w:spacing w:before="120" w:after="120"/>
      </w:pPr>
      <w:r>
        <w:rPr>
          <w:rFonts w:hint="eastAsia"/>
          <w:szCs w:val="24"/>
        </w:rPr>
        <w:t>For UL AR video transmission, data packets are characterized by large amount and variability</w:t>
      </w:r>
      <w:r>
        <w:rPr>
          <w:szCs w:val="24"/>
        </w:rPr>
        <w:t>.</w:t>
      </w:r>
      <w:r>
        <w:rPr>
          <w:rFonts w:hint="eastAsia"/>
          <w:szCs w:val="24"/>
        </w:rPr>
        <w:t xml:space="preserve"> T</w:t>
      </w:r>
      <w:r>
        <w:rPr>
          <w:rFonts w:hint="eastAsia"/>
        </w:rPr>
        <w:t xml:space="preserve">he reported buffer size </w:t>
      </w:r>
      <w:r>
        <w:t xml:space="preserve">is actually larger than the actual buffer size. </w:t>
      </w:r>
      <w:r>
        <w:rPr>
          <w:szCs w:val="24"/>
        </w:rPr>
        <w:t xml:space="preserve">Thus, </w:t>
      </w:r>
      <w:r>
        <w:rPr>
          <w:rFonts w:hint="eastAsia"/>
          <w:szCs w:val="24"/>
        </w:rPr>
        <w:t>legacy buffer status reporting (BSR)</w:t>
      </w:r>
      <w:r>
        <w:rPr>
          <w:rFonts w:hint="eastAsia"/>
        </w:rPr>
        <w:t xml:space="preserve"> </w:t>
      </w:r>
      <w:r>
        <w:t>will</w:t>
      </w:r>
      <w:r>
        <w:rPr>
          <w:rFonts w:hint="eastAsia"/>
        </w:rPr>
        <w:t xml:space="preserve"> waste </w:t>
      </w:r>
      <w:r>
        <w:rPr>
          <w:szCs w:val="24"/>
        </w:rPr>
        <w:t>radio resource and decrease the UL system capacity</w:t>
      </w:r>
      <w:r>
        <w:rPr>
          <w:rFonts w:hint="eastAsia"/>
        </w:rPr>
        <w:t>.</w:t>
      </w:r>
      <w:r>
        <w:rPr>
          <w:rFonts w:hint="eastAsia"/>
          <w:szCs w:val="24"/>
        </w:rPr>
        <w:t xml:space="preserve"> To this end, precise buffer size determination through enhanced buffer status reporting (BSR)</w:t>
      </w:r>
      <w:r>
        <w:rPr>
          <w:szCs w:val="24"/>
        </w:rPr>
        <w:t xml:space="preserve"> is considered </w:t>
      </w:r>
      <w:r>
        <w:rPr>
          <w:rFonts w:hint="eastAsia"/>
          <w:szCs w:val="24"/>
        </w:rPr>
        <w:t>to enhance system capacity</w:t>
      </w:r>
      <w:r>
        <w:rPr>
          <w:rFonts w:hint="eastAsia"/>
        </w:rPr>
        <w:t xml:space="preserve">. </w:t>
      </w:r>
    </w:p>
    <w:p>
      <w:pPr>
        <w:pStyle w:val="51"/>
        <w:spacing w:before="120" w:after="120"/>
        <w:jc w:val="both"/>
        <w:rPr>
          <w:rFonts w:eastAsia="宋体"/>
          <w:b w:val="0"/>
          <w:bCs w:val="0"/>
          <w:i w:val="0"/>
          <w:iCs w:val="0"/>
          <w:sz w:val="21"/>
          <w:szCs w:val="21"/>
          <w:lang w:val="en-US" w:eastAsia="zh-CN"/>
        </w:rPr>
      </w:pPr>
      <w:bookmarkStart w:id="15" w:name="_Toc14229"/>
      <w:r>
        <w:rPr>
          <w:rFonts w:hint="eastAsia" w:eastAsia="宋体"/>
          <w:lang w:val="en-US" w:eastAsia="zh-CN"/>
        </w:rPr>
        <w:t>To address capacity performance loss caused by overestimated packet sizes based on legacy BSR indication in uplink transmission, precise BSR indication can bring capacity performance gain.</w:t>
      </w:r>
      <w:bookmarkEnd w:id="15"/>
    </w:p>
    <w:p>
      <w:pPr>
        <w:spacing w:before="120" w:after="120"/>
      </w:pPr>
      <w:r>
        <w:rPr>
          <w:rFonts w:hint="eastAsia"/>
        </w:rPr>
        <w:t>Moreover, according to our contribution in [3], the evaluation results of the impact on BSR are summarized in the following table.</w:t>
      </w:r>
    </w:p>
    <w:p>
      <w:pPr>
        <w:spacing w:before="120" w:after="120"/>
        <w:jc w:val="center"/>
      </w:pPr>
      <w:r>
        <w:rPr>
          <w:rFonts w:hint="eastAsia"/>
        </w:rPr>
        <w:t xml:space="preserve"> Table 2 Capacity performance in Indoor HotSpot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3364"/>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391" w:type="dxa"/>
            <w:shd w:val="clear" w:color="auto" w:fill="BEBEBE" w:themeFill="background1" w:themeFillShade="BF"/>
          </w:tcPr>
          <w:p>
            <w:pPr>
              <w:spacing w:beforeLines="0" w:after="0" w:afterLines="0" w:line="240" w:lineRule="auto"/>
              <w:jc w:val="center"/>
              <w:rPr>
                <w:b/>
                <w:bCs/>
              </w:rPr>
            </w:pPr>
            <w:r>
              <w:rPr>
                <w:rFonts w:hint="eastAsia"/>
                <w:b/>
                <w:bCs/>
              </w:rPr>
              <w:t>Traffic model</w:t>
            </w:r>
          </w:p>
        </w:tc>
        <w:tc>
          <w:tcPr>
            <w:tcW w:w="3364" w:type="dxa"/>
            <w:shd w:val="clear" w:color="auto" w:fill="BEBEBE" w:themeFill="background1" w:themeFillShade="BF"/>
          </w:tcPr>
          <w:p>
            <w:pPr>
              <w:spacing w:beforeLines="0" w:after="0" w:afterLines="0" w:line="240" w:lineRule="auto"/>
              <w:jc w:val="center"/>
              <w:rPr>
                <w:b/>
                <w:bCs/>
              </w:rPr>
            </w:pPr>
            <w:r>
              <w:rPr>
                <w:rFonts w:hint="eastAsia"/>
                <w:b/>
                <w:bCs/>
              </w:rPr>
              <w:t>Case</w:t>
            </w:r>
          </w:p>
        </w:tc>
        <w:tc>
          <w:tcPr>
            <w:tcW w:w="1991" w:type="dxa"/>
            <w:shd w:val="clear" w:color="auto" w:fill="BEBEBE" w:themeFill="background1" w:themeFillShade="BF"/>
          </w:tcPr>
          <w:p>
            <w:pPr>
              <w:spacing w:beforeLines="0" w:after="0" w:afterLines="0" w:line="240" w:lineRule="auto"/>
              <w:jc w:val="center"/>
              <w:rPr>
                <w:b/>
                <w:bCs/>
              </w:rPr>
            </w:pPr>
            <w:r>
              <w:rPr>
                <w:rFonts w:hint="eastAsia"/>
                <w:b/>
                <w:bCs/>
              </w:rPr>
              <w:t>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restart"/>
            <w:vAlign w:val="center"/>
          </w:tcPr>
          <w:p>
            <w:pPr>
              <w:spacing w:beforeLines="0" w:after="0" w:afterLines="0" w:line="240" w:lineRule="auto"/>
              <w:jc w:val="center"/>
            </w:pPr>
            <w:r>
              <w:rPr>
                <w:rFonts w:hint="eastAsia"/>
              </w:rPr>
              <w:t>10Mbps@60fps, 30ms</w:t>
            </w:r>
          </w:p>
        </w:tc>
        <w:tc>
          <w:tcPr>
            <w:tcW w:w="3364" w:type="dxa"/>
          </w:tcPr>
          <w:p>
            <w:pPr>
              <w:spacing w:beforeLines="0" w:after="0" w:afterLines="0" w:line="240" w:lineRule="auto"/>
              <w:jc w:val="center"/>
            </w:pPr>
            <w:r>
              <w:rPr>
                <w:rFonts w:hint="eastAsia"/>
              </w:rPr>
              <w:t>Legacy BSR</w:t>
            </w:r>
          </w:p>
        </w:tc>
        <w:tc>
          <w:tcPr>
            <w:tcW w:w="1991" w:type="dxa"/>
          </w:tcPr>
          <w:p>
            <w:pPr>
              <w:spacing w:beforeLines="0" w:after="0" w:afterLines="0" w:line="240" w:lineRule="auto"/>
              <w:jc w:val="center"/>
            </w:pPr>
            <w:r>
              <w:rPr>
                <w:rFonts w:hint="eastAsi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continue"/>
            <w:vAlign w:val="center"/>
          </w:tcPr>
          <w:p>
            <w:pPr>
              <w:spacing w:beforeLines="0" w:after="0" w:afterLines="0" w:line="240" w:lineRule="auto"/>
              <w:jc w:val="center"/>
            </w:pPr>
          </w:p>
        </w:tc>
        <w:tc>
          <w:tcPr>
            <w:tcW w:w="3364" w:type="dxa"/>
          </w:tcPr>
          <w:p>
            <w:pPr>
              <w:spacing w:beforeLines="0" w:after="0" w:afterLines="0" w:line="240" w:lineRule="auto"/>
              <w:jc w:val="center"/>
            </w:pPr>
            <w:r>
              <w:rPr>
                <w:rFonts w:hint="eastAsia"/>
              </w:rPr>
              <w:t>Precise BSR</w:t>
            </w:r>
          </w:p>
        </w:tc>
        <w:tc>
          <w:tcPr>
            <w:tcW w:w="1991" w:type="dxa"/>
          </w:tcPr>
          <w:p>
            <w:pPr>
              <w:spacing w:beforeLines="0" w:after="0" w:afterLines="0" w:line="240" w:lineRule="auto"/>
              <w:jc w:val="center"/>
            </w:pPr>
            <w:r>
              <w:rPr>
                <w:rFonts w:hint="eastAsia"/>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restart"/>
            <w:vAlign w:val="center"/>
          </w:tcPr>
          <w:p>
            <w:pPr>
              <w:spacing w:beforeLines="0" w:after="0" w:afterLines="0" w:line="240" w:lineRule="auto"/>
              <w:jc w:val="center"/>
            </w:pPr>
            <w:r>
              <w:rPr>
                <w:rFonts w:hint="eastAsia"/>
              </w:rPr>
              <w:t>20Mbps@60fps, 30ms</w:t>
            </w:r>
          </w:p>
        </w:tc>
        <w:tc>
          <w:tcPr>
            <w:tcW w:w="3364" w:type="dxa"/>
          </w:tcPr>
          <w:p>
            <w:pPr>
              <w:spacing w:beforeLines="0" w:after="0" w:afterLines="0" w:line="240" w:lineRule="auto"/>
              <w:jc w:val="center"/>
            </w:pPr>
            <w:r>
              <w:rPr>
                <w:rFonts w:hint="eastAsia"/>
              </w:rPr>
              <w:t>Legacy BSR</w:t>
            </w:r>
          </w:p>
        </w:tc>
        <w:tc>
          <w:tcPr>
            <w:tcW w:w="1991" w:type="dxa"/>
          </w:tcPr>
          <w:p>
            <w:pPr>
              <w:spacing w:beforeLines="0" w:after="0" w:afterLines="0" w:line="240" w:lineRule="auto"/>
              <w:jc w:val="center"/>
            </w:pPr>
            <w:r>
              <w:rPr>
                <w:rFonts w:hint="eastAsi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continue"/>
            <w:vAlign w:val="center"/>
          </w:tcPr>
          <w:p>
            <w:pPr>
              <w:spacing w:beforeLines="0" w:after="0" w:afterLines="0" w:line="240" w:lineRule="auto"/>
              <w:jc w:val="center"/>
            </w:pPr>
          </w:p>
        </w:tc>
        <w:tc>
          <w:tcPr>
            <w:tcW w:w="3364" w:type="dxa"/>
          </w:tcPr>
          <w:p>
            <w:pPr>
              <w:spacing w:beforeLines="0" w:after="0" w:afterLines="0" w:line="240" w:lineRule="auto"/>
              <w:jc w:val="center"/>
            </w:pPr>
            <w:r>
              <w:rPr>
                <w:rFonts w:hint="eastAsia"/>
              </w:rPr>
              <w:t>Precise BSR</w:t>
            </w:r>
          </w:p>
        </w:tc>
        <w:tc>
          <w:tcPr>
            <w:tcW w:w="1991" w:type="dxa"/>
          </w:tcPr>
          <w:p>
            <w:pPr>
              <w:spacing w:beforeLines="0" w:after="0" w:afterLines="0" w:line="240" w:lineRule="auto"/>
              <w:jc w:val="center"/>
            </w:pPr>
            <w:r>
              <w:rPr>
                <w:rFonts w:hint="eastAsia"/>
              </w:rPr>
              <w:t>5.1</w:t>
            </w:r>
          </w:p>
        </w:tc>
      </w:tr>
    </w:tbl>
    <w:p>
      <w:pPr>
        <w:spacing w:before="120" w:after="120"/>
        <w:rPr>
          <w:szCs w:val="21"/>
        </w:rPr>
      </w:pPr>
      <w:r>
        <w:rPr>
          <w:rFonts w:hint="eastAsia"/>
        </w:rPr>
        <w:t>Although the granularity enhancement for BSR is more likely RAN2</w:t>
      </w:r>
      <w:r>
        <w:t>’</w:t>
      </w:r>
      <w:r>
        <w:rPr>
          <w:rFonts w:hint="eastAsia"/>
        </w:rPr>
        <w:t>s work, we believe the evaluation results in RAN1 for proving the capacity gain brought by this kind of enhancement should be captured in TR 38.835. It is suggested that RAN2</w:t>
      </w:r>
      <w:r>
        <w:t>’</w:t>
      </w:r>
      <w:r>
        <w:rPr>
          <w:rFonts w:hint="eastAsia"/>
        </w:rPr>
        <w:t>s colleagues can consider the evaluation results provided by RAN1. As a result, we have the following proposal:</w:t>
      </w:r>
    </w:p>
    <w:p>
      <w:pPr>
        <w:pStyle w:val="54"/>
        <w:spacing w:before="120" w:after="120"/>
        <w:jc w:val="both"/>
        <w:rPr>
          <w:lang w:val="en-US" w:eastAsia="zh-CN"/>
        </w:rPr>
      </w:pPr>
      <w:bookmarkStart w:id="16" w:name="_Toc118728220"/>
      <w:r>
        <w:rPr>
          <w:rFonts w:hint="eastAsia"/>
          <w:lang w:val="en-US" w:eastAsia="zh-CN"/>
        </w:rPr>
        <w:t xml:space="preserve">Suggest to capture the evaluation results of BSR enhancement </w:t>
      </w:r>
      <w:r>
        <w:rPr>
          <w:lang w:val="en-US" w:eastAsia="zh-CN"/>
        </w:rPr>
        <w:t xml:space="preserve">provided </w:t>
      </w:r>
      <w:r>
        <w:rPr>
          <w:rFonts w:hint="eastAsia"/>
          <w:lang w:val="en-US" w:eastAsia="zh-CN"/>
        </w:rPr>
        <w:t>by companies in RAN1 in</w:t>
      </w:r>
      <w:r>
        <w:rPr>
          <w:lang w:val="en-US" w:eastAsia="zh-CN"/>
        </w:rPr>
        <w:t>to</w:t>
      </w:r>
      <w:r>
        <w:rPr>
          <w:rFonts w:hint="eastAsia"/>
          <w:lang w:val="en-US" w:eastAsia="zh-CN"/>
        </w:rPr>
        <w:t xml:space="preserve"> TR 38.835.</w:t>
      </w:r>
      <w:bookmarkEnd w:id="16"/>
      <w:r>
        <w:rPr>
          <w:rFonts w:hint="eastAsia"/>
          <w:lang w:val="en-US" w:eastAsia="zh-CN"/>
        </w:rPr>
        <w:t xml:space="preserve"> </w:t>
      </w:r>
    </w:p>
    <w:p>
      <w:pPr>
        <w:pStyle w:val="2"/>
        <w:spacing w:before="120" w:after="120"/>
        <w:ind w:left="0"/>
      </w:pPr>
      <w:r>
        <w:rPr>
          <w:rFonts w:hint="eastAsia" w:eastAsia="宋体"/>
        </w:rPr>
        <w:t xml:space="preserve">Other Enhancements on Capacity Performance for XR </w:t>
      </w:r>
    </w:p>
    <w:p>
      <w:pPr>
        <w:pStyle w:val="3"/>
        <w:spacing w:before="120" w:after="120"/>
        <w:ind w:left="991" w:right="210" w:hanging="991" w:hangingChars="354"/>
      </w:pPr>
      <w:r>
        <w:rPr>
          <w:rFonts w:eastAsia="宋体"/>
        </w:rPr>
        <w:t>SPS enhancement</w:t>
      </w:r>
    </w:p>
    <w:p>
      <w:pPr>
        <w:spacing w:before="120" w:after="120"/>
      </w:pPr>
      <w:r>
        <w:rPr>
          <w:rFonts w:hint="eastAsia"/>
        </w:rPr>
        <w:t>According to the conclusion in RAN1#110 meeting [4], SPS enhancement has been deprioritized. However, since SPS has benefit in reducing overhead of downlink control signaling, transmission delay and power consumption, SPS enhancement is valuable for further study.</w:t>
      </w:r>
    </w:p>
    <w:p>
      <w:pPr>
        <w:spacing w:before="120" w:after="120"/>
      </w:pPr>
      <w:r>
        <w:rPr>
          <w:rFonts w:hint="eastAsia"/>
        </w:rPr>
        <w:t>SPS transmission is characterized by fixed MCS level, periodic</w:t>
      </w:r>
      <w:r>
        <w:t xml:space="preserve"> and</w:t>
      </w:r>
      <w:r>
        <w:rPr>
          <w:rFonts w:hint="eastAsia"/>
        </w:rPr>
        <w:t xml:space="preserve"> fixed time-frequency resource, which fits to the periodical service with small packet size and stringent latency, including e.g. URLLC services. </w:t>
      </w:r>
      <w:r>
        <w:rPr>
          <w:bCs/>
        </w:rPr>
        <w:t>Compared to dynamic grant transmission</w:t>
      </w:r>
      <w:r>
        <w:rPr>
          <w:rFonts w:hint="eastAsia"/>
        </w:rPr>
        <w:t>, SPS transmission is capable of reducing overhead of downlink control signaling</w:t>
      </w:r>
      <w:r>
        <w:t xml:space="preserve">, as well as </w:t>
      </w:r>
      <w:r>
        <w:rPr>
          <w:rFonts w:hint="eastAsia"/>
        </w:rPr>
        <w:t xml:space="preserve">transmission latency </w:t>
      </w:r>
      <w:r>
        <w:t>which is required for PDCCH transmission/decoding in DG mechanism</w:t>
      </w:r>
      <w:r>
        <w:rPr>
          <w:rFonts w:hint="eastAsia"/>
        </w:rPr>
        <w:t xml:space="preserve">. </w:t>
      </w:r>
    </w:p>
    <w:p>
      <w:pPr>
        <w:spacing w:before="120" w:after="120"/>
      </w:pPr>
      <w:r>
        <w:rPr>
          <w:rFonts w:hint="eastAsia"/>
        </w:rPr>
        <w:t xml:space="preserve">XR service is characterized by quasi-periodicity, large and various packet size as well as stringent latency. In order to reduce transmission latency and save overhead of downlink control signaling, SPS transmission </w:t>
      </w:r>
      <w:r>
        <w:t>may be</w:t>
      </w:r>
      <w:r>
        <w:rPr>
          <w:rFonts w:hint="eastAsia"/>
        </w:rPr>
        <w:t xml:space="preserve"> one </w:t>
      </w:r>
      <w:r>
        <w:t>of potential</w:t>
      </w:r>
      <w:r>
        <w:rPr>
          <w:rFonts w:hint="eastAsia"/>
        </w:rPr>
        <w:t xml:space="preserve"> transmission scheme</w:t>
      </w:r>
      <w:r>
        <w:t>s</w:t>
      </w:r>
      <w:r>
        <w:rPr>
          <w:rFonts w:hint="eastAsia"/>
        </w:rPr>
        <w:t xml:space="preserve"> for XR service due to </w:t>
      </w:r>
      <w:r>
        <w:t>the mentioned</w:t>
      </w:r>
      <w:r>
        <w:rPr>
          <w:rFonts w:hint="eastAsia"/>
        </w:rPr>
        <w:t xml:space="preserve"> </w:t>
      </w:r>
      <w:r>
        <w:t>advantages</w:t>
      </w:r>
      <w:r>
        <w:rPr>
          <w:rFonts w:hint="eastAsia"/>
        </w:rPr>
        <w:t xml:space="preserve">.  </w:t>
      </w:r>
    </w:p>
    <w:p>
      <w:pPr>
        <w:pStyle w:val="51"/>
        <w:spacing w:before="120" w:after="120"/>
        <w:jc w:val="both"/>
        <w:rPr>
          <w:lang w:val="en-US" w:eastAsia="zh-CN"/>
        </w:rPr>
      </w:pPr>
      <w:bookmarkStart w:id="17" w:name="_Toc31812"/>
      <w:r>
        <w:rPr>
          <w:lang w:val="en-US" w:eastAsia="zh-CN"/>
        </w:rPr>
        <w:t>Given the advantage</w:t>
      </w:r>
      <w:r>
        <w:rPr>
          <w:rFonts w:hint="eastAsia"/>
          <w:lang w:val="en-US" w:eastAsia="zh-CN"/>
        </w:rPr>
        <w:t>s</w:t>
      </w:r>
      <w:r>
        <w:rPr>
          <w:lang w:val="en-US" w:eastAsia="zh-CN"/>
        </w:rPr>
        <w:t xml:space="preserve"> of </w:t>
      </w:r>
      <w:r>
        <w:rPr>
          <w:rFonts w:hint="eastAsia"/>
        </w:rPr>
        <w:t>reduc</w:t>
      </w:r>
      <w:r>
        <w:t>ing</w:t>
      </w:r>
      <w:r>
        <w:rPr>
          <w:rFonts w:hint="eastAsia"/>
        </w:rPr>
        <w:t xml:space="preserve"> </w:t>
      </w:r>
      <w:r>
        <w:rPr>
          <w:rFonts w:hint="eastAsia"/>
          <w:lang w:val="en-US" w:eastAsia="zh-CN"/>
        </w:rPr>
        <w:t xml:space="preserve">overhead of downlink control signaling and </w:t>
      </w:r>
      <w:r>
        <w:rPr>
          <w:rFonts w:hint="eastAsia"/>
        </w:rPr>
        <w:t>transmission latency</w:t>
      </w:r>
      <w:r>
        <w:rPr>
          <w:rFonts w:hint="eastAsia"/>
          <w:lang w:val="en-US" w:eastAsia="zh-CN"/>
        </w:rPr>
        <w:t>,</w:t>
      </w:r>
      <w:r>
        <w:t xml:space="preserve"> </w:t>
      </w:r>
      <w:r>
        <w:rPr>
          <w:rFonts w:hint="eastAsia"/>
        </w:rPr>
        <w:t xml:space="preserve">SPS </w:t>
      </w:r>
      <w:r>
        <w:t>mechanism</w:t>
      </w:r>
      <w:r>
        <w:rPr>
          <w:rFonts w:hint="eastAsia"/>
        </w:rPr>
        <w:t xml:space="preserve"> </w:t>
      </w:r>
      <w:r>
        <w:t xml:space="preserve">can be </w:t>
      </w:r>
      <w:r>
        <w:rPr>
          <w:rFonts w:hint="eastAsia"/>
          <w:lang w:val="en-US" w:eastAsia="zh-CN"/>
        </w:rPr>
        <w:t>further studied</w:t>
      </w:r>
      <w:r>
        <w:t xml:space="preserve"> for </w:t>
      </w:r>
      <w:r>
        <w:rPr>
          <w:rFonts w:hint="eastAsia"/>
          <w:lang w:val="en-US" w:eastAsia="zh-CN"/>
        </w:rPr>
        <w:t>XR-specific capacity enhancement</w:t>
      </w:r>
      <w:r>
        <w:t>.</w:t>
      </w:r>
      <w:bookmarkEnd w:id="17"/>
    </w:p>
    <w:p>
      <w:pPr>
        <w:spacing w:before="120" w:after="120"/>
      </w:pPr>
      <w:r>
        <w:rPr>
          <w:rFonts w:hint="eastAsia"/>
        </w:rPr>
        <w:t>According to our contribution in [3], we provide the capacity performance and power consumption of enhanced SPS (with resource release indication for unused resource) and legacy SPS, and the evaluation results are summarized in the following table.</w:t>
      </w:r>
    </w:p>
    <w:p>
      <w:pPr>
        <w:spacing w:before="120" w:after="120"/>
        <w:jc w:val="center"/>
      </w:pPr>
      <w:r>
        <w:rPr>
          <w:rFonts w:hint="eastAsia"/>
        </w:rPr>
        <w:t xml:space="preserve"> Table 3 Capacity performance and power consumption comparison in Indoor HotSpot scenario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469" w:type="dxa"/>
            <w:shd w:val="clear" w:color="auto" w:fill="BEBEBE" w:themeFill="background1" w:themeFillShade="BF"/>
          </w:tcPr>
          <w:p>
            <w:pPr>
              <w:spacing w:beforeLines="0" w:after="0" w:afterLines="0" w:line="240" w:lineRule="auto"/>
              <w:jc w:val="center"/>
              <w:rPr>
                <w:b/>
                <w:bCs/>
              </w:rPr>
            </w:pPr>
            <w:r>
              <w:rPr>
                <w:rFonts w:hint="eastAsia"/>
                <w:b/>
                <w:bCs/>
              </w:rPr>
              <w:t>Traffic model</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Case</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Capacity</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Power consumption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restart"/>
            <w:vAlign w:val="center"/>
          </w:tcPr>
          <w:p>
            <w:pPr>
              <w:spacing w:beforeLines="0" w:after="0" w:afterLines="0" w:line="240" w:lineRule="auto"/>
              <w:jc w:val="center"/>
            </w:pPr>
            <w:r>
              <w:rPr>
                <w:rFonts w:hint="eastAsia"/>
              </w:rPr>
              <w:t>45Mbps@60fps, 10ms</w:t>
            </w:r>
          </w:p>
        </w:tc>
        <w:tc>
          <w:tcPr>
            <w:tcW w:w="2469" w:type="dxa"/>
          </w:tcPr>
          <w:p>
            <w:pPr>
              <w:spacing w:beforeLines="0" w:after="0" w:afterLines="0" w:line="240" w:lineRule="auto"/>
              <w:jc w:val="center"/>
            </w:pPr>
            <w:r>
              <w:rPr>
                <w:rFonts w:hint="eastAsia"/>
              </w:rPr>
              <w:t>Legacy SPS</w:t>
            </w:r>
          </w:p>
        </w:tc>
        <w:tc>
          <w:tcPr>
            <w:tcW w:w="2469" w:type="dxa"/>
          </w:tcPr>
          <w:p>
            <w:pPr>
              <w:spacing w:beforeLines="0" w:after="0" w:afterLines="0" w:line="240" w:lineRule="auto"/>
              <w:jc w:val="center"/>
            </w:pPr>
            <w:r>
              <w:rPr>
                <w:rFonts w:hint="eastAsia"/>
              </w:rPr>
              <w:t>0</w:t>
            </w:r>
          </w:p>
        </w:tc>
        <w:tc>
          <w:tcPr>
            <w:tcW w:w="2469" w:type="dxa"/>
          </w:tcPr>
          <w:p>
            <w:pPr>
              <w:spacing w:beforeLines="0" w:after="0" w:afterLines="0" w:line="240" w:lineRule="auto"/>
              <w:jc w:val="center"/>
            </w:pPr>
            <w:r>
              <w:rPr>
                <w:rFonts w:hint="eastAsia"/>
              </w:rPr>
              <w:t>195.43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vAlign w:val="center"/>
          </w:tcPr>
          <w:p>
            <w:pPr>
              <w:spacing w:beforeLines="0" w:after="0" w:afterLines="0" w:line="240" w:lineRule="auto"/>
              <w:jc w:val="center"/>
            </w:pPr>
          </w:p>
        </w:tc>
        <w:tc>
          <w:tcPr>
            <w:tcW w:w="2469" w:type="dxa"/>
          </w:tcPr>
          <w:p>
            <w:pPr>
              <w:spacing w:beforeLines="0" w:after="0" w:afterLines="0" w:line="240" w:lineRule="auto"/>
              <w:jc w:val="center"/>
            </w:pPr>
            <w:r>
              <w:rPr>
                <w:rFonts w:hint="eastAsia"/>
              </w:rPr>
              <w:t>Enhanced SPS</w:t>
            </w:r>
          </w:p>
        </w:tc>
        <w:tc>
          <w:tcPr>
            <w:tcW w:w="2469" w:type="dxa"/>
          </w:tcPr>
          <w:p>
            <w:pPr>
              <w:spacing w:beforeLines="0" w:after="0" w:afterLines="0" w:line="240" w:lineRule="auto"/>
              <w:jc w:val="center"/>
            </w:pPr>
            <w:r>
              <w:rPr>
                <w:rFonts w:hint="eastAsia"/>
              </w:rPr>
              <w:t>4</w:t>
            </w:r>
          </w:p>
        </w:tc>
        <w:tc>
          <w:tcPr>
            <w:tcW w:w="2469" w:type="dxa"/>
          </w:tcPr>
          <w:p>
            <w:pPr>
              <w:spacing w:beforeLines="0" w:after="0" w:afterLines="0" w:line="240" w:lineRule="auto"/>
              <w:jc w:val="center"/>
            </w:pPr>
            <w:r>
              <w:rPr>
                <w:rFonts w:hint="eastAsia"/>
              </w:rPr>
              <w:t>52.88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restart"/>
            <w:vAlign w:val="center"/>
          </w:tcPr>
          <w:p>
            <w:pPr>
              <w:spacing w:beforeLines="0" w:after="0" w:afterLines="0" w:line="240" w:lineRule="auto"/>
              <w:jc w:val="center"/>
            </w:pPr>
            <w:r>
              <w:rPr>
                <w:rFonts w:hint="eastAsia"/>
              </w:rPr>
              <w:t>60Mbps@60fps, 10ms</w:t>
            </w:r>
          </w:p>
        </w:tc>
        <w:tc>
          <w:tcPr>
            <w:tcW w:w="2469" w:type="dxa"/>
          </w:tcPr>
          <w:p>
            <w:pPr>
              <w:spacing w:beforeLines="0" w:after="0" w:afterLines="0" w:line="240" w:lineRule="auto"/>
              <w:jc w:val="center"/>
            </w:pPr>
            <w:r>
              <w:rPr>
                <w:rFonts w:hint="eastAsia"/>
              </w:rPr>
              <w:t>Legacy SPS</w:t>
            </w:r>
          </w:p>
        </w:tc>
        <w:tc>
          <w:tcPr>
            <w:tcW w:w="2469" w:type="dxa"/>
          </w:tcPr>
          <w:p>
            <w:pPr>
              <w:spacing w:beforeLines="0" w:after="0" w:afterLines="0" w:line="240" w:lineRule="auto"/>
              <w:jc w:val="center"/>
            </w:pPr>
            <w:r>
              <w:rPr>
                <w:rFonts w:hint="eastAsia"/>
              </w:rPr>
              <w:t>0</w:t>
            </w:r>
          </w:p>
        </w:tc>
        <w:tc>
          <w:tcPr>
            <w:tcW w:w="2469" w:type="dxa"/>
          </w:tcPr>
          <w:p>
            <w:pPr>
              <w:spacing w:beforeLines="0" w:after="0" w:afterLines="0" w:line="240" w:lineRule="auto"/>
              <w:jc w:val="center"/>
            </w:pPr>
            <w:r>
              <w:rPr>
                <w:rFonts w:hint="eastAsia"/>
              </w:rPr>
              <w:t>195.37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tcPr>
          <w:p>
            <w:pPr>
              <w:spacing w:beforeLines="0" w:after="0" w:afterLines="0" w:line="240" w:lineRule="auto"/>
              <w:jc w:val="center"/>
            </w:pPr>
          </w:p>
        </w:tc>
        <w:tc>
          <w:tcPr>
            <w:tcW w:w="2469" w:type="dxa"/>
          </w:tcPr>
          <w:p>
            <w:pPr>
              <w:spacing w:beforeLines="0" w:after="0" w:afterLines="0" w:line="240" w:lineRule="auto"/>
              <w:jc w:val="center"/>
            </w:pPr>
            <w:r>
              <w:rPr>
                <w:rFonts w:hint="eastAsia"/>
              </w:rPr>
              <w:t>Enhanced SPS</w:t>
            </w:r>
          </w:p>
        </w:tc>
        <w:tc>
          <w:tcPr>
            <w:tcW w:w="2469" w:type="dxa"/>
          </w:tcPr>
          <w:p>
            <w:pPr>
              <w:spacing w:beforeLines="0" w:after="0" w:afterLines="0" w:line="240" w:lineRule="auto"/>
              <w:jc w:val="center"/>
            </w:pPr>
            <w:r>
              <w:rPr>
                <w:rFonts w:hint="eastAsia"/>
              </w:rPr>
              <w:t>2.4</w:t>
            </w:r>
          </w:p>
        </w:tc>
        <w:tc>
          <w:tcPr>
            <w:tcW w:w="2469" w:type="dxa"/>
          </w:tcPr>
          <w:p>
            <w:pPr>
              <w:spacing w:beforeLines="0" w:after="0" w:afterLines="0" w:line="240" w:lineRule="auto"/>
              <w:jc w:val="center"/>
            </w:pPr>
            <w:r>
              <w:rPr>
                <w:rFonts w:hint="eastAsia"/>
              </w:rPr>
              <w:t>61.06</w:t>
            </w:r>
          </w:p>
        </w:tc>
      </w:tr>
    </w:tbl>
    <w:p>
      <w:pPr>
        <w:spacing w:before="120" w:after="120"/>
      </w:pPr>
    </w:p>
    <w:p>
      <w:pPr>
        <w:pStyle w:val="54"/>
        <w:spacing w:before="120" w:after="120"/>
        <w:jc w:val="both"/>
        <w:rPr>
          <w:lang w:val="en-US" w:eastAsia="zh-CN"/>
        </w:rPr>
      </w:pPr>
      <w:bookmarkStart w:id="18" w:name="_Toc118728221"/>
      <w:r>
        <w:rPr>
          <w:rFonts w:hint="eastAsia"/>
          <w:lang w:val="en-US" w:eastAsia="zh-CN"/>
        </w:rPr>
        <w:t>Suggest to capture SPS enhancement techniques as well as their evaluation results proposed by companies in</w:t>
      </w:r>
      <w:r>
        <w:rPr>
          <w:lang w:val="en-US" w:eastAsia="zh-CN"/>
        </w:rPr>
        <w:t>to</w:t>
      </w:r>
      <w:r>
        <w:rPr>
          <w:rFonts w:hint="eastAsia"/>
          <w:lang w:val="en-US" w:eastAsia="zh-CN"/>
        </w:rPr>
        <w:t xml:space="preserve"> TR38.835.</w:t>
      </w:r>
      <w:bookmarkEnd w:id="18"/>
      <w:r>
        <w:rPr>
          <w:rFonts w:hint="eastAsia"/>
          <w:lang w:val="en-US" w:eastAsia="zh-CN"/>
        </w:rPr>
        <w:t xml:space="preserve"> </w:t>
      </w:r>
    </w:p>
    <w:p>
      <w:pPr>
        <w:pStyle w:val="3"/>
        <w:spacing w:before="120" w:after="120"/>
        <w:ind w:left="991" w:right="210" w:hanging="991" w:hangingChars="354"/>
        <w:rPr>
          <w:rFonts w:eastAsia="宋体"/>
        </w:rPr>
      </w:pPr>
      <w:r>
        <w:rPr>
          <w:rFonts w:hint="eastAsia" w:eastAsia="宋体"/>
        </w:rPr>
        <w:t>Intra/inter UE prioritization/multiplexing enhancements</w:t>
      </w:r>
    </w:p>
    <w:p>
      <w:pPr>
        <w:spacing w:before="120" w:after="120"/>
      </w:pPr>
      <w:r>
        <w:rPr>
          <w:rFonts w:hint="eastAsia"/>
        </w:rPr>
        <w:t xml:space="preserve">According to the conclusion in RAN1#110 meeting [4], intra/inter UE multiplexing enhancements have been deprioritized. However, since intra/inter UE multiplexing enhancements are capable of bringing significant capacity gain in the scenario of multi-stream transmission and mixed traffic transmission, intra/inter UE multiplexing enhancements are valuable for further study. </w:t>
      </w:r>
    </w:p>
    <w:p>
      <w:pPr>
        <w:spacing w:before="120" w:after="120"/>
      </w:pPr>
      <w:r>
        <w:rPr>
          <w:rFonts w:hint="eastAsia"/>
        </w:rPr>
        <w:t>Inter-UE multiplexing enhancement can be used in the case of coexistence between XR traffic and eMBB or URLLC traffic. While intra-UE multiplexing enhancement can be considered in the case of multi-stream transmission. Both of them are capable of ensuring the stream with high priority transmission in time without sacrificing the performance of the stream with low priority in case of resource starvation.</w:t>
      </w:r>
    </w:p>
    <w:p>
      <w:pPr>
        <w:pStyle w:val="51"/>
        <w:spacing w:before="120" w:after="120"/>
        <w:jc w:val="both"/>
        <w:rPr>
          <w:lang w:val="en-US" w:eastAsia="zh-CN"/>
        </w:rPr>
      </w:pPr>
      <w:bookmarkStart w:id="19" w:name="_Toc9297"/>
      <w:r>
        <w:rPr>
          <w:lang w:val="en-US" w:eastAsia="zh-CN"/>
        </w:rPr>
        <w:t>Given the advantage</w:t>
      </w:r>
      <w:r>
        <w:rPr>
          <w:rFonts w:hint="eastAsia"/>
          <w:lang w:val="en-US" w:eastAsia="zh-CN"/>
        </w:rPr>
        <w:t>s</w:t>
      </w:r>
      <w:r>
        <w:rPr>
          <w:lang w:val="en-US" w:eastAsia="zh-CN"/>
        </w:rPr>
        <w:t xml:space="preserve"> of </w:t>
      </w:r>
      <w:r>
        <w:rPr>
          <w:rFonts w:hint="eastAsia"/>
          <w:lang w:val="en-US" w:eastAsia="zh-CN"/>
        </w:rPr>
        <w:t>guaranteeing streams with both high priority and low priority transmission for multi-stream model in case of resource starvation,</w:t>
      </w:r>
      <w:r>
        <w:t xml:space="preserve"> </w:t>
      </w:r>
      <w:r>
        <w:rPr>
          <w:rFonts w:hint="eastAsia"/>
          <w:lang w:val="en-US" w:eastAsia="zh-CN"/>
        </w:rPr>
        <w:t xml:space="preserve">adaptive </w:t>
      </w:r>
      <w:r>
        <w:rPr>
          <w:rFonts w:hint="eastAsia" w:eastAsia="宋体"/>
          <w:lang w:val="en-US" w:eastAsia="zh-CN"/>
        </w:rPr>
        <w:t>i</w:t>
      </w:r>
      <w:r>
        <w:rPr>
          <w:rFonts w:hint="eastAsia" w:eastAsia="宋体"/>
        </w:rPr>
        <w:t>ntra/inter UE prioritization/multiplexing enhancement</w:t>
      </w:r>
      <w:r>
        <w:rPr>
          <w:rFonts w:hint="eastAsia"/>
        </w:rPr>
        <w:t xml:space="preserve"> </w:t>
      </w:r>
      <w:r>
        <w:t>can be</w:t>
      </w:r>
      <w:r>
        <w:rPr>
          <w:rFonts w:hint="eastAsia"/>
          <w:lang w:val="en-US" w:eastAsia="zh-CN"/>
        </w:rPr>
        <w:t xml:space="preserve"> further studied for XR-specific capacity enhancement</w:t>
      </w:r>
      <w:r>
        <w:t>.</w:t>
      </w:r>
      <w:bookmarkEnd w:id="19"/>
    </w:p>
    <w:p>
      <w:pPr>
        <w:spacing w:before="120" w:after="120"/>
      </w:pPr>
      <w:r>
        <w:rPr>
          <w:rFonts w:hint="eastAsia"/>
        </w:rPr>
        <w:t>Moreover, according to our contribution in [5], the evaluation results for intra/inter UE multiplexing are summarized in the following table.</w:t>
      </w:r>
    </w:p>
    <w:p>
      <w:pPr>
        <w:spacing w:before="120" w:after="120"/>
        <w:jc w:val="center"/>
      </w:pPr>
      <w:r>
        <w:rPr>
          <w:rFonts w:hint="eastAsia"/>
        </w:rPr>
        <w:t xml:space="preserve"> Table 4 Capacity performance comparison of preemption in Indoor HotSpot scenario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469" w:type="dxa"/>
            <w:shd w:val="clear" w:color="auto" w:fill="BEBEBE" w:themeFill="background1" w:themeFillShade="BF"/>
          </w:tcPr>
          <w:p>
            <w:pPr>
              <w:spacing w:beforeLines="0" w:after="0" w:afterLines="0" w:line="240" w:lineRule="auto"/>
              <w:jc w:val="center"/>
              <w:rPr>
                <w:b/>
                <w:bCs/>
              </w:rPr>
            </w:pPr>
            <w:r>
              <w:rPr>
                <w:rFonts w:hint="eastAsia"/>
                <w:b/>
                <w:bCs/>
              </w:rPr>
              <w:t>Traffic model</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Case</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Capacity</w:t>
            </w:r>
          </w:p>
        </w:tc>
        <w:tc>
          <w:tcPr>
            <w:tcW w:w="2469" w:type="dxa"/>
            <w:shd w:val="clear" w:color="auto" w:fill="BEBEBE" w:themeFill="background1" w:themeFillShade="BF"/>
          </w:tcPr>
          <w:p>
            <w:pPr>
              <w:spacing w:beforeLines="0" w:after="0" w:afterLines="0" w:line="240" w:lineRule="auto"/>
              <w:jc w:val="center"/>
              <w:rPr>
                <w:b/>
                <w:bCs/>
              </w:rPr>
            </w:pPr>
            <w:r>
              <w:rPr>
                <w:rFonts w:hint="eastAsia"/>
                <w:b/>
                <w:bCs/>
              </w:rPr>
              <w:t>Capacity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restart"/>
            <w:vAlign w:val="center"/>
          </w:tcPr>
          <w:p>
            <w:pPr>
              <w:spacing w:beforeLines="0" w:after="0" w:afterLines="0" w:line="240" w:lineRule="auto"/>
              <w:jc w:val="center"/>
            </w:pPr>
            <w:r>
              <w:rPr>
                <w:rFonts w:hint="eastAsia"/>
              </w:rPr>
              <w:t>audio/data + video multi-stream model</w:t>
            </w:r>
          </w:p>
        </w:tc>
        <w:tc>
          <w:tcPr>
            <w:tcW w:w="2469" w:type="dxa"/>
          </w:tcPr>
          <w:p>
            <w:pPr>
              <w:spacing w:beforeLines="0" w:after="0" w:afterLines="0" w:line="240" w:lineRule="auto"/>
              <w:jc w:val="center"/>
            </w:pPr>
            <w:r>
              <w:rPr>
                <w:rFonts w:hint="eastAsia"/>
              </w:rPr>
              <w:t>Without preemption</w:t>
            </w:r>
          </w:p>
        </w:tc>
        <w:tc>
          <w:tcPr>
            <w:tcW w:w="2469" w:type="dxa"/>
          </w:tcPr>
          <w:p>
            <w:pPr>
              <w:spacing w:beforeLines="0" w:after="0" w:afterLines="0" w:line="240" w:lineRule="auto"/>
              <w:jc w:val="center"/>
            </w:pPr>
            <w:r>
              <w:rPr>
                <w:rFonts w:hint="eastAsia"/>
              </w:rPr>
              <w:t>4.9</w:t>
            </w:r>
          </w:p>
        </w:tc>
        <w:tc>
          <w:tcPr>
            <w:tcW w:w="2469" w:type="dxa"/>
          </w:tcPr>
          <w:p>
            <w:pPr>
              <w:spacing w:beforeLines="0" w:after="0" w:afterLines="0" w:line="240" w:lineRule="auto"/>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vAlign w:val="center"/>
          </w:tcPr>
          <w:p>
            <w:pPr>
              <w:spacing w:beforeLines="0" w:after="0" w:afterLines="0" w:line="240" w:lineRule="auto"/>
              <w:jc w:val="center"/>
            </w:pPr>
          </w:p>
        </w:tc>
        <w:tc>
          <w:tcPr>
            <w:tcW w:w="2469" w:type="dxa"/>
          </w:tcPr>
          <w:p>
            <w:pPr>
              <w:spacing w:beforeLines="0" w:after="0" w:afterLines="0" w:line="240" w:lineRule="auto"/>
              <w:jc w:val="center"/>
            </w:pPr>
            <w:r>
              <w:rPr>
                <w:rFonts w:hint="eastAsia"/>
              </w:rPr>
              <w:t>Rel-15 preemption</w:t>
            </w:r>
          </w:p>
        </w:tc>
        <w:tc>
          <w:tcPr>
            <w:tcW w:w="2469" w:type="dxa"/>
          </w:tcPr>
          <w:p>
            <w:pPr>
              <w:spacing w:beforeLines="0" w:after="0" w:afterLines="0" w:line="240" w:lineRule="auto"/>
              <w:jc w:val="center"/>
            </w:pPr>
            <w:r>
              <w:rPr>
                <w:rFonts w:hint="eastAsia"/>
              </w:rPr>
              <w:t>5.7</w:t>
            </w:r>
          </w:p>
        </w:tc>
        <w:tc>
          <w:tcPr>
            <w:tcW w:w="2469" w:type="dxa"/>
          </w:tcPr>
          <w:p>
            <w:pPr>
              <w:spacing w:beforeLines="0" w:after="0" w:afterLines="0" w:line="240" w:lineRule="auto"/>
              <w:jc w:val="center"/>
            </w:pPr>
            <w:r>
              <w:rPr>
                <w:rFonts w:hint="eastAsia"/>
              </w:rPr>
              <w:t>47.37%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vAlign w:val="center"/>
          </w:tcPr>
          <w:p>
            <w:pPr>
              <w:spacing w:beforeLines="0" w:after="0" w:afterLines="0" w:line="240" w:lineRule="auto"/>
              <w:jc w:val="center"/>
            </w:pPr>
          </w:p>
        </w:tc>
        <w:tc>
          <w:tcPr>
            <w:tcW w:w="2469" w:type="dxa"/>
          </w:tcPr>
          <w:p>
            <w:pPr>
              <w:spacing w:beforeLines="0" w:after="0" w:afterLines="0" w:line="240" w:lineRule="auto"/>
              <w:jc w:val="center"/>
            </w:pPr>
            <w:r>
              <w:rPr>
                <w:rFonts w:hint="eastAsia"/>
              </w:rPr>
              <w:t>Enhanced preemption</w:t>
            </w:r>
          </w:p>
        </w:tc>
        <w:tc>
          <w:tcPr>
            <w:tcW w:w="2469" w:type="dxa"/>
          </w:tcPr>
          <w:p>
            <w:pPr>
              <w:spacing w:beforeLines="0" w:after="0" w:afterLines="0" w:line="240" w:lineRule="auto"/>
              <w:jc w:val="center"/>
            </w:pPr>
            <w:r>
              <w:rPr>
                <w:rFonts w:hint="eastAsia"/>
              </w:rPr>
              <w:t>8.4</w:t>
            </w:r>
          </w:p>
        </w:tc>
        <w:tc>
          <w:tcPr>
            <w:tcW w:w="2469" w:type="dxa"/>
          </w:tcPr>
          <w:p>
            <w:pPr>
              <w:spacing w:beforeLines="0" w:after="0" w:afterLines="0" w:line="240" w:lineRule="auto"/>
              <w:jc w:val="center"/>
            </w:pPr>
            <w:r>
              <w:rPr>
                <w:rFonts w:hint="eastAsia"/>
              </w:rPr>
              <w:t>71.43%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restart"/>
            <w:vAlign w:val="center"/>
          </w:tcPr>
          <w:p>
            <w:pPr>
              <w:spacing w:beforeLines="0" w:after="0" w:afterLines="0" w:line="240" w:lineRule="auto"/>
              <w:jc w:val="center"/>
            </w:pPr>
            <w:r>
              <w:rPr>
                <w:rFonts w:hint="eastAsia"/>
              </w:rPr>
              <w:t>Option 1A: slice-based multi-stream model</w:t>
            </w:r>
          </w:p>
        </w:tc>
        <w:tc>
          <w:tcPr>
            <w:tcW w:w="2469" w:type="dxa"/>
          </w:tcPr>
          <w:p>
            <w:pPr>
              <w:spacing w:beforeLines="0" w:after="0" w:afterLines="0" w:line="240" w:lineRule="auto"/>
              <w:jc w:val="center"/>
            </w:pPr>
            <w:r>
              <w:rPr>
                <w:rFonts w:hint="eastAsia"/>
              </w:rPr>
              <w:t>Without preemption</w:t>
            </w:r>
          </w:p>
        </w:tc>
        <w:tc>
          <w:tcPr>
            <w:tcW w:w="2469" w:type="dxa"/>
          </w:tcPr>
          <w:p>
            <w:pPr>
              <w:spacing w:beforeLines="0" w:after="0" w:afterLines="0" w:line="240" w:lineRule="auto"/>
              <w:jc w:val="center"/>
            </w:pPr>
            <w:r>
              <w:rPr>
                <w:rFonts w:hint="eastAsia"/>
              </w:rPr>
              <w:t>4.5</w:t>
            </w:r>
          </w:p>
        </w:tc>
        <w:tc>
          <w:tcPr>
            <w:tcW w:w="2469" w:type="dxa"/>
          </w:tcPr>
          <w:p>
            <w:pPr>
              <w:spacing w:beforeLines="0" w:after="0" w:afterLines="0" w:line="240" w:lineRule="auto"/>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vAlign w:val="center"/>
          </w:tcPr>
          <w:p>
            <w:pPr>
              <w:spacing w:beforeLines="0" w:after="0" w:afterLines="0" w:line="240" w:lineRule="auto"/>
              <w:jc w:val="center"/>
            </w:pPr>
          </w:p>
        </w:tc>
        <w:tc>
          <w:tcPr>
            <w:tcW w:w="2469" w:type="dxa"/>
          </w:tcPr>
          <w:p>
            <w:pPr>
              <w:spacing w:beforeLines="0" w:after="0" w:afterLines="0" w:line="240" w:lineRule="auto"/>
              <w:jc w:val="center"/>
            </w:pPr>
            <w:r>
              <w:rPr>
                <w:rFonts w:hint="eastAsia"/>
              </w:rPr>
              <w:t>Rel-15 preemption</w:t>
            </w:r>
          </w:p>
        </w:tc>
        <w:tc>
          <w:tcPr>
            <w:tcW w:w="2469" w:type="dxa"/>
          </w:tcPr>
          <w:p>
            <w:pPr>
              <w:spacing w:beforeLines="0" w:after="0" w:afterLines="0" w:line="240" w:lineRule="auto"/>
              <w:jc w:val="center"/>
            </w:pPr>
            <w:r>
              <w:rPr>
                <w:rFonts w:hint="eastAsia"/>
              </w:rPr>
              <w:t>7.1</w:t>
            </w:r>
          </w:p>
        </w:tc>
        <w:tc>
          <w:tcPr>
            <w:tcW w:w="2469" w:type="dxa"/>
          </w:tcPr>
          <w:p>
            <w:pPr>
              <w:spacing w:beforeLines="0" w:after="0" w:afterLines="0" w:line="240" w:lineRule="auto"/>
              <w:jc w:val="center"/>
            </w:pPr>
            <w:r>
              <w:rPr>
                <w:rFonts w:hint="eastAsia"/>
              </w:rPr>
              <w:t>43.66%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vMerge w:val="continue"/>
          </w:tcPr>
          <w:p>
            <w:pPr>
              <w:spacing w:beforeLines="0" w:after="0" w:afterLines="0" w:line="240" w:lineRule="auto"/>
              <w:jc w:val="center"/>
            </w:pPr>
          </w:p>
        </w:tc>
        <w:tc>
          <w:tcPr>
            <w:tcW w:w="2469" w:type="dxa"/>
          </w:tcPr>
          <w:p>
            <w:pPr>
              <w:spacing w:beforeLines="0" w:after="0" w:afterLines="0" w:line="240" w:lineRule="auto"/>
              <w:jc w:val="center"/>
            </w:pPr>
            <w:r>
              <w:rPr>
                <w:rFonts w:hint="eastAsia"/>
              </w:rPr>
              <w:t>Enhanced preemption</w:t>
            </w:r>
          </w:p>
        </w:tc>
        <w:tc>
          <w:tcPr>
            <w:tcW w:w="2469" w:type="dxa"/>
          </w:tcPr>
          <w:p>
            <w:pPr>
              <w:spacing w:beforeLines="0" w:after="0" w:afterLines="0" w:line="240" w:lineRule="auto"/>
              <w:jc w:val="center"/>
            </w:pPr>
            <w:r>
              <w:rPr>
                <w:rFonts w:hint="eastAsia"/>
              </w:rPr>
              <w:t>10.2</w:t>
            </w:r>
          </w:p>
        </w:tc>
        <w:tc>
          <w:tcPr>
            <w:tcW w:w="2469" w:type="dxa"/>
          </w:tcPr>
          <w:p>
            <w:pPr>
              <w:spacing w:beforeLines="0" w:after="0" w:afterLines="0" w:line="240" w:lineRule="auto"/>
              <w:jc w:val="center"/>
            </w:pPr>
            <w:r>
              <w:rPr>
                <w:rFonts w:hint="eastAsia"/>
              </w:rPr>
              <w:t>126.67%</w:t>
            </w:r>
          </w:p>
        </w:tc>
      </w:tr>
    </w:tbl>
    <w:p>
      <w:pPr>
        <w:spacing w:before="120" w:after="120"/>
      </w:pPr>
    </w:p>
    <w:p>
      <w:pPr>
        <w:pStyle w:val="54"/>
        <w:spacing w:before="120" w:after="120"/>
        <w:jc w:val="both"/>
        <w:rPr>
          <w:lang w:val="en-US" w:eastAsia="zh-CN"/>
        </w:rPr>
      </w:pPr>
      <w:bookmarkStart w:id="20" w:name="_Toc118728222"/>
      <w:r>
        <w:rPr>
          <w:rFonts w:hint="eastAsia"/>
          <w:lang w:val="en-US" w:eastAsia="zh-CN"/>
        </w:rPr>
        <w:t xml:space="preserve">Suggest to capture the evaluation results of adaptive inter-UE/intra-UE multiplexing enhancement </w:t>
      </w:r>
      <w:r>
        <w:rPr>
          <w:lang w:val="en-US" w:eastAsia="zh-CN"/>
        </w:rPr>
        <w:t xml:space="preserve">provided </w:t>
      </w:r>
      <w:r>
        <w:rPr>
          <w:rFonts w:hint="eastAsia"/>
          <w:lang w:val="en-US" w:eastAsia="zh-CN"/>
        </w:rPr>
        <w:t>by companies in</w:t>
      </w:r>
      <w:r>
        <w:rPr>
          <w:lang w:val="en-US" w:eastAsia="zh-CN"/>
        </w:rPr>
        <w:t>to</w:t>
      </w:r>
      <w:r>
        <w:rPr>
          <w:rFonts w:hint="eastAsia"/>
          <w:lang w:val="en-US" w:eastAsia="zh-CN"/>
        </w:rPr>
        <w:t xml:space="preserve"> TR38.835.</w:t>
      </w:r>
      <w:bookmarkEnd w:id="20"/>
      <w:r>
        <w:rPr>
          <w:rFonts w:hint="eastAsia"/>
          <w:lang w:val="en-US" w:eastAsia="zh-CN"/>
        </w:rPr>
        <w:t xml:space="preserve"> </w:t>
      </w:r>
      <w:r>
        <w:rPr>
          <w:lang w:val="en-US" w:eastAsia="zh-CN"/>
        </w:rPr>
        <w:t xml:space="preserve"> </w:t>
      </w:r>
    </w:p>
    <w:p>
      <w:pPr>
        <w:pStyle w:val="3"/>
        <w:spacing w:before="120" w:after="120"/>
        <w:ind w:left="991" w:right="210" w:hanging="991" w:hangingChars="354"/>
      </w:pPr>
      <w:r>
        <w:rPr>
          <w:rFonts w:hint="eastAsia" w:eastAsia="宋体"/>
          <w:szCs w:val="22"/>
        </w:rPr>
        <w:t>Link adaptation enhancement for re-transmission</w:t>
      </w:r>
    </w:p>
    <w:p>
      <w:pPr>
        <w:spacing w:before="120" w:after="120"/>
        <w:rPr>
          <w:szCs w:val="22"/>
        </w:rPr>
      </w:pPr>
      <w:r>
        <w:rPr>
          <w:rFonts w:hint="eastAsia"/>
          <w:szCs w:val="22"/>
        </w:rPr>
        <w:t xml:space="preserve">XR service is characterized by large packet size and stringent latency, which result in high resource occupation and limited re-transmission times when re-transmission occurs. If the scheduled MCS level is </w:t>
      </w:r>
      <w:r>
        <w:rPr>
          <w:szCs w:val="22"/>
        </w:rPr>
        <w:t>too</w:t>
      </w:r>
      <w:r>
        <w:rPr>
          <w:rFonts w:hint="eastAsia"/>
          <w:szCs w:val="22"/>
        </w:rPr>
        <w:t xml:space="preserve"> aggressive in a poor channel condition, XR packets call for frequent re-transmissions and are prone to </w:t>
      </w:r>
      <w:r>
        <w:rPr>
          <w:szCs w:val="22"/>
        </w:rPr>
        <w:t>be</w:t>
      </w:r>
      <w:r>
        <w:rPr>
          <w:rFonts w:hint="eastAsia"/>
          <w:szCs w:val="22"/>
        </w:rPr>
        <w:t xml:space="preserve"> dropp</w:t>
      </w:r>
      <w:r>
        <w:rPr>
          <w:szCs w:val="22"/>
        </w:rPr>
        <w:t>ed</w:t>
      </w:r>
      <w:r>
        <w:rPr>
          <w:rFonts w:hint="eastAsia"/>
          <w:szCs w:val="22"/>
        </w:rPr>
        <w:t xml:space="preserve">. </w:t>
      </w:r>
    </w:p>
    <w:p>
      <w:pPr>
        <w:spacing w:before="120" w:after="120"/>
        <w:rPr>
          <w:szCs w:val="22"/>
        </w:rPr>
      </w:pPr>
      <w:r>
        <w:rPr>
          <w:rFonts w:hint="eastAsia"/>
          <w:szCs w:val="22"/>
        </w:rPr>
        <w:t xml:space="preserve">To this end, </w:t>
      </w:r>
      <w:r>
        <w:rPr>
          <w:szCs w:val="22"/>
        </w:rPr>
        <w:t>t</w:t>
      </w:r>
      <w:r>
        <w:rPr>
          <w:rFonts w:hint="eastAsia"/>
          <w:szCs w:val="22"/>
        </w:rPr>
        <w:t>he UE feedback information for re-transmission is considered</w:t>
      </w:r>
      <w:r>
        <w:rPr>
          <w:szCs w:val="22"/>
        </w:rPr>
        <w:t>, for example, with</w:t>
      </w:r>
      <w:r>
        <w:rPr>
          <w:rFonts w:hint="eastAsia"/>
          <w:szCs w:val="22"/>
        </w:rPr>
        <w:t xml:space="preserve"> delta MCS feedback information </w:t>
      </w:r>
      <w:r>
        <w:rPr>
          <w:szCs w:val="22"/>
        </w:rPr>
        <w:t>adaptive HARQ transmission can be achieved.</w:t>
      </w:r>
    </w:p>
    <w:p>
      <w:pPr>
        <w:pStyle w:val="51"/>
        <w:spacing w:before="120" w:after="120"/>
        <w:jc w:val="both"/>
        <w:rPr>
          <w:lang w:val="en-US" w:eastAsia="zh-CN"/>
        </w:rPr>
      </w:pPr>
      <w:bookmarkStart w:id="21" w:name="_Toc10120"/>
      <w:r>
        <w:rPr>
          <w:lang w:val="en-US" w:eastAsia="zh-CN"/>
        </w:rPr>
        <w:t>Given the advantage</w:t>
      </w:r>
      <w:r>
        <w:rPr>
          <w:rFonts w:hint="eastAsia"/>
          <w:lang w:val="en-US" w:eastAsia="zh-CN"/>
        </w:rPr>
        <w:t>s</w:t>
      </w:r>
      <w:r>
        <w:rPr>
          <w:lang w:val="en-US" w:eastAsia="zh-CN"/>
        </w:rPr>
        <w:t xml:space="preserve"> of </w:t>
      </w:r>
      <w:r>
        <w:rPr>
          <w:rFonts w:hint="eastAsia"/>
          <w:lang w:val="en-US" w:eastAsia="zh-CN"/>
        </w:rPr>
        <w:t>guaranteeing the reliability of re-transmission and reduce the re-transmission time, delta MCS can be further studied for XR-specific capacity enhancement.</w:t>
      </w:r>
      <w:bookmarkEnd w:id="21"/>
    </w:p>
    <w:p>
      <w:pPr>
        <w:spacing w:before="120" w:after="120"/>
      </w:pPr>
      <w:r>
        <w:rPr>
          <w:rFonts w:hint="eastAsia"/>
        </w:rPr>
        <w:t>Moreover, according to our contribution in [5], the evaluation results for delta MCS are summarized in the following table.</w:t>
      </w:r>
    </w:p>
    <w:p>
      <w:pPr>
        <w:spacing w:before="120" w:after="120"/>
        <w:jc w:val="center"/>
      </w:pPr>
      <w:r>
        <w:rPr>
          <w:rFonts w:hint="eastAsia"/>
        </w:rPr>
        <w:t xml:space="preserve"> Table 5 Capacity performance of delta MCS in Indoor HotSpot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3364"/>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 w:hRule="atLeast"/>
          <w:jc w:val="center"/>
        </w:trPr>
        <w:tc>
          <w:tcPr>
            <w:tcW w:w="2391" w:type="dxa"/>
            <w:shd w:val="clear" w:color="auto" w:fill="BEBEBE" w:themeFill="background1" w:themeFillShade="BF"/>
          </w:tcPr>
          <w:p>
            <w:pPr>
              <w:spacing w:beforeLines="0" w:after="0" w:afterLines="0" w:line="240" w:lineRule="auto"/>
              <w:jc w:val="center"/>
              <w:rPr>
                <w:b/>
                <w:bCs/>
              </w:rPr>
            </w:pPr>
            <w:r>
              <w:rPr>
                <w:rFonts w:hint="eastAsia"/>
                <w:b/>
                <w:bCs/>
              </w:rPr>
              <w:t>Traffic model</w:t>
            </w:r>
          </w:p>
        </w:tc>
        <w:tc>
          <w:tcPr>
            <w:tcW w:w="3364" w:type="dxa"/>
            <w:shd w:val="clear" w:color="auto" w:fill="BEBEBE" w:themeFill="background1" w:themeFillShade="BF"/>
          </w:tcPr>
          <w:p>
            <w:pPr>
              <w:spacing w:beforeLines="0" w:after="0" w:afterLines="0" w:line="240" w:lineRule="auto"/>
              <w:jc w:val="center"/>
              <w:rPr>
                <w:b/>
                <w:bCs/>
              </w:rPr>
            </w:pPr>
            <w:r>
              <w:rPr>
                <w:rFonts w:hint="eastAsia"/>
                <w:b/>
                <w:bCs/>
              </w:rPr>
              <w:t>Case</w:t>
            </w:r>
          </w:p>
        </w:tc>
        <w:tc>
          <w:tcPr>
            <w:tcW w:w="1991" w:type="dxa"/>
            <w:shd w:val="clear" w:color="auto" w:fill="BEBEBE" w:themeFill="background1" w:themeFillShade="BF"/>
          </w:tcPr>
          <w:p>
            <w:pPr>
              <w:spacing w:beforeLines="0" w:after="0" w:afterLines="0" w:line="240" w:lineRule="auto"/>
              <w:jc w:val="center"/>
              <w:rPr>
                <w:b/>
                <w:bCs/>
              </w:rPr>
            </w:pPr>
            <w:r>
              <w:rPr>
                <w:rFonts w:hint="eastAsia"/>
                <w:b/>
                <w:bCs/>
              </w:rPr>
              <w:t>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restart"/>
            <w:vAlign w:val="center"/>
          </w:tcPr>
          <w:p>
            <w:pPr>
              <w:spacing w:beforeLines="0" w:after="0" w:afterLines="0" w:line="240" w:lineRule="auto"/>
              <w:jc w:val="center"/>
            </w:pPr>
            <w:r>
              <w:rPr>
                <w:rFonts w:hint="eastAsia"/>
              </w:rPr>
              <w:t>60Mbps@60fps, 10ms</w:t>
            </w:r>
          </w:p>
        </w:tc>
        <w:tc>
          <w:tcPr>
            <w:tcW w:w="3364" w:type="dxa"/>
          </w:tcPr>
          <w:p>
            <w:pPr>
              <w:spacing w:beforeLines="0" w:after="0" w:afterLines="0" w:line="240" w:lineRule="auto"/>
              <w:jc w:val="center"/>
            </w:pPr>
            <w:r>
              <w:rPr>
                <w:rFonts w:hint="eastAsia"/>
              </w:rPr>
              <w:t>Delta MCS information feedback</w:t>
            </w:r>
          </w:p>
        </w:tc>
        <w:tc>
          <w:tcPr>
            <w:tcW w:w="1991" w:type="dxa"/>
          </w:tcPr>
          <w:p>
            <w:pPr>
              <w:spacing w:beforeLines="0" w:after="0" w:afterLines="0" w:line="240" w:lineRule="auto"/>
              <w:jc w:val="center"/>
            </w:pPr>
            <w:r>
              <w:rPr>
                <w:rFonts w:hint="eastAsi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continue"/>
            <w:vAlign w:val="center"/>
          </w:tcPr>
          <w:p>
            <w:pPr>
              <w:spacing w:beforeLines="0" w:after="0" w:afterLines="0" w:line="240" w:lineRule="auto"/>
              <w:jc w:val="center"/>
            </w:pPr>
          </w:p>
        </w:tc>
        <w:tc>
          <w:tcPr>
            <w:tcW w:w="3364" w:type="dxa"/>
          </w:tcPr>
          <w:p>
            <w:pPr>
              <w:spacing w:beforeLines="0" w:after="0" w:afterLines="0" w:line="240" w:lineRule="auto"/>
              <w:jc w:val="center"/>
            </w:pPr>
            <w:r>
              <w:rPr>
                <w:rFonts w:hint="eastAsia"/>
              </w:rPr>
              <w:t>No delta MCS information feedback</w:t>
            </w:r>
          </w:p>
        </w:tc>
        <w:tc>
          <w:tcPr>
            <w:tcW w:w="1991" w:type="dxa"/>
          </w:tcPr>
          <w:p>
            <w:pPr>
              <w:spacing w:beforeLines="0" w:after="0" w:afterLines="0" w:line="240" w:lineRule="auto"/>
              <w:jc w:val="center"/>
            </w:pPr>
            <w:r>
              <w:rPr>
                <w:rFonts w:hint="eastAsia"/>
              </w:rPr>
              <w:t>3.3</w:t>
            </w:r>
          </w:p>
        </w:tc>
      </w:tr>
    </w:tbl>
    <w:p>
      <w:pPr>
        <w:spacing w:before="120" w:after="120"/>
      </w:pPr>
      <w:r>
        <w:rPr>
          <w:rFonts w:hint="eastAsia"/>
        </w:rPr>
        <w:t>According to the conclusion in RAN1#110 meeting [4], delta MCS has been deprioritized. However, since delta MCS is capable of bringing significant capacity gain, delta MCS is valuable for further study. As a result, we have the following proposal:</w:t>
      </w:r>
    </w:p>
    <w:p>
      <w:pPr>
        <w:pStyle w:val="54"/>
        <w:spacing w:before="120" w:after="120"/>
        <w:jc w:val="both"/>
        <w:rPr>
          <w:lang w:val="en-US" w:eastAsia="zh-CN"/>
        </w:rPr>
      </w:pPr>
      <w:bookmarkStart w:id="22" w:name="_Toc118728223"/>
      <w:r>
        <w:rPr>
          <w:rFonts w:hint="eastAsia"/>
          <w:lang w:val="en-US" w:eastAsia="zh-CN"/>
        </w:rPr>
        <w:t xml:space="preserve">Suggest to capture the evaluation results of delta MCS </w:t>
      </w:r>
      <w:r>
        <w:rPr>
          <w:lang w:val="en-US" w:eastAsia="zh-CN"/>
        </w:rPr>
        <w:t xml:space="preserve">provided </w:t>
      </w:r>
      <w:r>
        <w:rPr>
          <w:rFonts w:hint="eastAsia"/>
          <w:lang w:val="en-US" w:eastAsia="zh-CN"/>
        </w:rPr>
        <w:t>by companies in</w:t>
      </w:r>
      <w:r>
        <w:rPr>
          <w:lang w:val="en-US" w:eastAsia="zh-CN"/>
        </w:rPr>
        <w:t>to</w:t>
      </w:r>
      <w:r>
        <w:rPr>
          <w:rFonts w:hint="eastAsia"/>
          <w:lang w:val="en-US" w:eastAsia="zh-CN"/>
        </w:rPr>
        <w:t xml:space="preserve"> TR38.835.</w:t>
      </w:r>
      <w:bookmarkEnd w:id="22"/>
      <w:r>
        <w:rPr>
          <w:rFonts w:hint="eastAsia"/>
          <w:lang w:val="en-US" w:eastAsia="zh-CN"/>
        </w:rPr>
        <w:t xml:space="preserve"> </w:t>
      </w:r>
      <w:r>
        <w:rPr>
          <w:lang w:val="en-US" w:eastAsia="zh-CN"/>
        </w:rPr>
        <w:t xml:space="preserve"> </w:t>
      </w:r>
    </w:p>
    <w:p>
      <w:pPr>
        <w:pStyle w:val="3"/>
        <w:spacing w:before="120" w:after="120"/>
        <w:ind w:left="991" w:right="210" w:hanging="991" w:hangingChars="354"/>
        <w:rPr>
          <w:rFonts w:eastAsia="宋体"/>
        </w:rPr>
      </w:pPr>
      <w:r>
        <w:rPr>
          <w:rFonts w:eastAsia="宋体"/>
        </w:rPr>
        <w:t>N</w:t>
      </w:r>
      <w:r>
        <w:rPr>
          <w:rFonts w:hint="eastAsia" w:eastAsia="宋体"/>
        </w:rPr>
        <w:t>etwork</w:t>
      </w:r>
      <w:r>
        <w:rPr>
          <w:rFonts w:eastAsia="宋体"/>
        </w:rPr>
        <w:t xml:space="preserve"> </w:t>
      </w:r>
      <w:r>
        <w:rPr>
          <w:rFonts w:hint="eastAsia" w:eastAsia="宋体"/>
        </w:rPr>
        <w:t>C</w:t>
      </w:r>
      <w:r>
        <w:rPr>
          <w:rFonts w:eastAsia="宋体"/>
        </w:rPr>
        <w:t>odin</w:t>
      </w:r>
      <w:r>
        <w:rPr>
          <w:rFonts w:hint="eastAsia" w:eastAsia="宋体"/>
        </w:rPr>
        <w:t>g</w:t>
      </w:r>
    </w:p>
    <w:p>
      <w:pPr>
        <w:spacing w:before="120" w:after="120"/>
      </w:pPr>
      <w:r>
        <w:rPr>
          <w:rFonts w:hint="eastAsia"/>
        </w:rPr>
        <w:t>Due to the requirement of low latency and high reliability of XR traffic, the ARQ functionality in RLC layer needs to be de</w:t>
      </w:r>
      <w:r>
        <w:t xml:space="preserve">-activated </w:t>
      </w:r>
      <w:r>
        <w:rPr>
          <w:rFonts w:hint="eastAsia"/>
        </w:rPr>
        <w:t>or limited, which leads to insufficient reliability.</w:t>
      </w:r>
    </w:p>
    <w:p>
      <w:pPr>
        <w:spacing w:before="120" w:after="120"/>
      </w:pPr>
      <w:r>
        <w:rPr>
          <w:rFonts w:hint="eastAsia"/>
        </w:rPr>
        <w:t>To this end, network coding is considered. UE does not need to successfully receive all source packets. If the number of successfully received packets equals to or are larger than the original packets, it can be successfully received by UE. Network coding provides more coding gain and increases the system reliability.</w:t>
      </w:r>
    </w:p>
    <w:p>
      <w:pPr>
        <w:pStyle w:val="51"/>
        <w:spacing w:before="120" w:after="120"/>
        <w:jc w:val="both"/>
        <w:rPr>
          <w:lang w:val="en-US" w:eastAsia="zh-CN"/>
        </w:rPr>
      </w:pPr>
      <w:bookmarkStart w:id="23" w:name="_Toc21181"/>
      <w:r>
        <w:rPr>
          <w:lang w:val="en-US" w:eastAsia="zh-CN"/>
        </w:rPr>
        <w:t>Given the advantage</w:t>
      </w:r>
      <w:r>
        <w:rPr>
          <w:rFonts w:hint="eastAsia"/>
          <w:lang w:val="en-US" w:eastAsia="zh-CN"/>
        </w:rPr>
        <w:t>s</w:t>
      </w:r>
      <w:r>
        <w:rPr>
          <w:lang w:val="en-US" w:eastAsia="zh-CN"/>
        </w:rPr>
        <w:t xml:space="preserve"> of </w:t>
      </w:r>
      <w:r>
        <w:rPr>
          <w:rFonts w:hint="eastAsia"/>
          <w:lang w:val="en-US" w:eastAsia="zh-CN"/>
        </w:rPr>
        <w:t xml:space="preserve">guaranteeing the transmission reliability by </w:t>
      </w:r>
      <w:r>
        <w:rPr>
          <w:rFonts w:hint="eastAsia"/>
        </w:rPr>
        <w:t>provid</w:t>
      </w:r>
      <w:r>
        <w:rPr>
          <w:rFonts w:hint="eastAsia"/>
          <w:lang w:val="en-US" w:eastAsia="zh-CN"/>
        </w:rPr>
        <w:t>ing</w:t>
      </w:r>
      <w:r>
        <w:t xml:space="preserve"> coding gain with</w:t>
      </w:r>
      <w:r>
        <w:rPr>
          <w:rFonts w:hint="eastAsia"/>
        </w:rPr>
        <w:t xml:space="preserve"> better error detection and correction </w:t>
      </w:r>
      <w:r>
        <w:t>performance</w:t>
      </w:r>
      <w:r>
        <w:rPr>
          <w:rFonts w:hint="eastAsia"/>
          <w:lang w:val="en-US" w:eastAsia="zh-CN"/>
        </w:rPr>
        <w:t>, network coding can be further studied for XR-specific capacity enhancement.</w:t>
      </w:r>
      <w:bookmarkEnd w:id="23"/>
    </w:p>
    <w:p>
      <w:pPr>
        <w:spacing w:before="120" w:after="120"/>
      </w:pPr>
      <w:r>
        <w:rPr>
          <w:rFonts w:hint="eastAsia"/>
        </w:rPr>
        <w:t>Moreover, according to our contribution in [5], the evaluation results for network coding are summarized in the following table.</w:t>
      </w:r>
    </w:p>
    <w:p>
      <w:pPr>
        <w:spacing w:before="120" w:after="120"/>
        <w:jc w:val="center"/>
      </w:pPr>
      <w:r>
        <w:rPr>
          <w:rFonts w:hint="eastAsia"/>
        </w:rPr>
        <w:t xml:space="preserve"> Table 6 Capacity performance of network coding in Indoor HotSpot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3364"/>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391" w:type="dxa"/>
            <w:shd w:val="clear" w:color="auto" w:fill="BEBEBE" w:themeFill="background1" w:themeFillShade="BF"/>
          </w:tcPr>
          <w:p>
            <w:pPr>
              <w:spacing w:beforeLines="0" w:after="0" w:afterLines="0" w:line="240" w:lineRule="auto"/>
              <w:jc w:val="center"/>
              <w:rPr>
                <w:b/>
                <w:bCs/>
              </w:rPr>
            </w:pPr>
            <w:r>
              <w:rPr>
                <w:rFonts w:hint="eastAsia"/>
                <w:b/>
                <w:bCs/>
              </w:rPr>
              <w:t>Traffic model</w:t>
            </w:r>
          </w:p>
        </w:tc>
        <w:tc>
          <w:tcPr>
            <w:tcW w:w="3364" w:type="dxa"/>
            <w:shd w:val="clear" w:color="auto" w:fill="BEBEBE" w:themeFill="background1" w:themeFillShade="BF"/>
          </w:tcPr>
          <w:p>
            <w:pPr>
              <w:spacing w:beforeLines="0" w:after="0" w:afterLines="0" w:line="240" w:lineRule="auto"/>
              <w:jc w:val="center"/>
              <w:rPr>
                <w:b/>
                <w:bCs/>
              </w:rPr>
            </w:pPr>
            <w:r>
              <w:rPr>
                <w:rFonts w:hint="eastAsia"/>
                <w:b/>
                <w:bCs/>
              </w:rPr>
              <w:t>Case</w:t>
            </w:r>
          </w:p>
        </w:tc>
        <w:tc>
          <w:tcPr>
            <w:tcW w:w="1991" w:type="dxa"/>
            <w:shd w:val="clear" w:color="auto" w:fill="BEBEBE" w:themeFill="background1" w:themeFillShade="BF"/>
          </w:tcPr>
          <w:p>
            <w:pPr>
              <w:spacing w:beforeLines="0" w:after="0" w:afterLines="0" w:line="240" w:lineRule="auto"/>
              <w:jc w:val="center"/>
              <w:rPr>
                <w:b/>
                <w:bCs/>
              </w:rPr>
            </w:pPr>
            <w:r>
              <w:rPr>
                <w:rFonts w:hint="eastAsia"/>
                <w:b/>
                <w:bCs/>
              </w:rPr>
              <w:t>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restart"/>
            <w:vAlign w:val="center"/>
          </w:tcPr>
          <w:p>
            <w:pPr>
              <w:spacing w:beforeLines="0" w:after="0" w:afterLines="0" w:line="240" w:lineRule="auto"/>
              <w:jc w:val="center"/>
            </w:pPr>
            <w:r>
              <w:rPr>
                <w:rFonts w:hint="eastAsia"/>
              </w:rPr>
              <w:t>30Mbps@60fps, 10ms</w:t>
            </w:r>
          </w:p>
        </w:tc>
        <w:tc>
          <w:tcPr>
            <w:tcW w:w="3364" w:type="dxa"/>
          </w:tcPr>
          <w:p>
            <w:pPr>
              <w:spacing w:beforeLines="0" w:after="0" w:afterLines="0" w:line="240" w:lineRule="auto"/>
              <w:jc w:val="center"/>
            </w:pPr>
            <w:r>
              <w:rPr>
                <w:rFonts w:hint="eastAsia"/>
              </w:rPr>
              <w:t>PDC</w:t>
            </w:r>
            <w:r>
              <w:t>P</w:t>
            </w:r>
            <w:r>
              <w:rPr>
                <w:rFonts w:hint="eastAsia"/>
              </w:rPr>
              <w:t xml:space="preserve"> duplication</w:t>
            </w:r>
          </w:p>
        </w:tc>
        <w:tc>
          <w:tcPr>
            <w:tcW w:w="1991" w:type="dxa"/>
          </w:tcPr>
          <w:p>
            <w:pPr>
              <w:spacing w:beforeLines="0" w:after="0" w:afterLines="0" w:line="240" w:lineRule="auto"/>
              <w:jc w:val="center"/>
            </w:pPr>
            <w:r>
              <w:rPr>
                <w:rFonts w:hint="eastAsia"/>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vMerge w:val="continue"/>
            <w:vAlign w:val="center"/>
          </w:tcPr>
          <w:p>
            <w:pPr>
              <w:spacing w:beforeLines="0" w:after="0" w:afterLines="0" w:line="240" w:lineRule="auto"/>
              <w:jc w:val="center"/>
            </w:pPr>
          </w:p>
        </w:tc>
        <w:tc>
          <w:tcPr>
            <w:tcW w:w="3364" w:type="dxa"/>
          </w:tcPr>
          <w:p>
            <w:pPr>
              <w:spacing w:beforeLines="0" w:after="0" w:afterLines="0" w:line="240" w:lineRule="auto"/>
              <w:jc w:val="center"/>
            </w:pPr>
            <w:r>
              <w:rPr>
                <w:rFonts w:hint="eastAsia"/>
              </w:rPr>
              <w:t>Network coding</w:t>
            </w:r>
          </w:p>
        </w:tc>
        <w:tc>
          <w:tcPr>
            <w:tcW w:w="1991" w:type="dxa"/>
          </w:tcPr>
          <w:p>
            <w:pPr>
              <w:spacing w:beforeLines="0" w:after="0" w:afterLines="0" w:line="240" w:lineRule="auto"/>
              <w:jc w:val="center"/>
            </w:pPr>
            <w:r>
              <w:rPr>
                <w:rFonts w:hint="eastAsia"/>
              </w:rPr>
              <w:t>8.9</w:t>
            </w:r>
          </w:p>
        </w:tc>
      </w:tr>
    </w:tbl>
    <w:p>
      <w:pPr>
        <w:spacing w:before="120" w:after="120"/>
      </w:pPr>
      <w:r>
        <w:rPr>
          <w:rFonts w:hint="eastAsia"/>
        </w:rPr>
        <w:t>According to the conclusion in RAN1#109-e meeting [6], network coding has been deprioritized. However, since network coding is capable of bringing significant capacity gain, network coding is valuable for further study. As a result, we have the following proposal:</w:t>
      </w:r>
    </w:p>
    <w:p>
      <w:pPr>
        <w:pStyle w:val="54"/>
        <w:spacing w:before="120" w:after="120"/>
        <w:jc w:val="both"/>
        <w:rPr>
          <w:lang w:val="en-US" w:eastAsia="zh-CN"/>
        </w:rPr>
      </w:pPr>
      <w:bookmarkStart w:id="24" w:name="_Toc118728224"/>
      <w:r>
        <w:rPr>
          <w:rFonts w:hint="eastAsia"/>
          <w:lang w:val="en-US" w:eastAsia="zh-CN"/>
        </w:rPr>
        <w:t xml:space="preserve">Suggest to capture the evaluation results of network coding </w:t>
      </w:r>
      <w:r>
        <w:rPr>
          <w:lang w:val="en-US" w:eastAsia="zh-CN"/>
        </w:rPr>
        <w:t xml:space="preserve">provided </w:t>
      </w:r>
      <w:r>
        <w:rPr>
          <w:rFonts w:hint="eastAsia"/>
          <w:lang w:val="en-US" w:eastAsia="zh-CN"/>
        </w:rPr>
        <w:t>by companies in</w:t>
      </w:r>
      <w:r>
        <w:rPr>
          <w:lang w:val="en-US" w:eastAsia="zh-CN"/>
        </w:rPr>
        <w:t>to</w:t>
      </w:r>
      <w:r>
        <w:rPr>
          <w:rFonts w:hint="eastAsia"/>
          <w:lang w:val="en-US" w:eastAsia="zh-CN"/>
        </w:rPr>
        <w:t xml:space="preserve"> TR38.835.</w:t>
      </w:r>
      <w:bookmarkEnd w:id="24"/>
      <w:r>
        <w:rPr>
          <w:rFonts w:hint="eastAsia"/>
          <w:lang w:val="en-US" w:eastAsia="zh-CN"/>
        </w:rPr>
        <w:t xml:space="preserve"> </w:t>
      </w:r>
      <w:r>
        <w:rPr>
          <w:lang w:val="en-US" w:eastAsia="zh-CN"/>
        </w:rPr>
        <w:t xml:space="preserve"> </w:t>
      </w: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13"/>
        <w:tabs>
          <w:tab w:val="right" w:leader="dot" w:pos="9660"/>
          <w:tab w:val="clear" w:pos="0"/>
        </w:tabs>
        <w:spacing w:before="120" w:after="120"/>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"_Toc15083" </w:instrText>
      </w:r>
      <w:r>
        <w:fldChar w:fldCharType="separate"/>
      </w:r>
      <w:r>
        <w:t xml:space="preserve">Observation 1: </w:t>
      </w:r>
      <w:r>
        <w:rPr>
          <w:rFonts w:hint="eastAsia"/>
        </w:rPr>
        <w:t>T</w:t>
      </w:r>
      <w:r>
        <w:t xml:space="preserve">he </w:t>
      </w:r>
      <w:r>
        <w:rPr>
          <w:rFonts w:hint="eastAsia"/>
        </w:rPr>
        <w:t xml:space="preserve">Pose/Control </w:t>
      </w:r>
      <w:r>
        <w:t>packets arrival is periodic and the packet size is constant, thus</w:t>
      </w:r>
      <w:r>
        <w:rPr>
          <w:rFonts w:hint="eastAsia"/>
        </w:rPr>
        <w:t xml:space="preserve"> CG is suitable for Pose/Control traffic tr</w:t>
      </w:r>
      <w:r>
        <w:t>ansmissions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"_Toc10253" </w:instrText>
      </w:r>
      <w:r>
        <w:fldChar w:fldCharType="separate"/>
      </w:r>
      <w:r>
        <w:t xml:space="preserve">Observation 2: </w:t>
      </w:r>
      <w:r>
        <w:rPr>
          <w:rFonts w:hint="eastAsia"/>
        </w:rPr>
        <w:t>For AR video traffic model, uplink dynamic grant</w:t>
      </w:r>
      <w:r>
        <w:t xml:space="preserve"> would</w:t>
      </w:r>
      <w:r>
        <w:rPr>
          <w:rFonts w:hint="eastAsia"/>
        </w:rPr>
        <w:t xml:space="preserve"> confront performance penalty especially in the scenario of stringent latency requirement.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"_Toc11480" </w:instrText>
      </w:r>
      <w:r>
        <w:fldChar w:fldCharType="separate"/>
      </w:r>
      <w:r>
        <w:t xml:space="preserve">Observation 3: </w:t>
      </w:r>
      <w:r>
        <w:rPr>
          <w:rFonts w:hint="eastAsia"/>
        </w:rPr>
        <w:t>T</w:t>
      </w:r>
      <w:r>
        <w:t>he resource allocation</w:t>
      </w:r>
      <w:r>
        <w:rPr>
          <w:rFonts w:hint="eastAsia"/>
        </w:rPr>
        <w:t xml:space="preserve"> can be configured/re-initialized for legacy type 2 CG</w:t>
      </w:r>
      <w:r>
        <w:t>, in the meanwhile</w:t>
      </w:r>
      <w:r>
        <w:rPr>
          <w:rFonts w:hint="eastAsia"/>
        </w:rPr>
        <w:t xml:space="preserve"> </w:t>
      </w:r>
      <w:r>
        <w:t>u</w:t>
      </w:r>
      <w:r>
        <w:rPr>
          <w:rFonts w:hint="eastAsia"/>
        </w:rPr>
        <w:t>nused resource release can be considered to solve</w:t>
      </w:r>
      <w:r>
        <w:t xml:space="preserve"> the problem of </w:t>
      </w:r>
      <w:r>
        <w:rPr>
          <w:rFonts w:hint="eastAsia"/>
        </w:rPr>
        <w:t>low efficiency</w:t>
      </w:r>
      <w:r>
        <w:t xml:space="preserve"> of resource usage for UE</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"_Toc25233" </w:instrText>
      </w:r>
      <w:r>
        <w:fldChar w:fldCharType="separate"/>
      </w:r>
      <w:r>
        <w:t xml:space="preserve">Observation 4: </w:t>
      </w:r>
      <w:r>
        <w:rPr>
          <w:rFonts w:hint="eastAsia"/>
          <w:szCs w:val="21"/>
        </w:rPr>
        <w:t>Increasing CG PUSCH transmission occasions in a duration</w:t>
      </w:r>
      <w:r>
        <w:rPr>
          <w:rFonts w:hint="eastAsia"/>
        </w:rPr>
        <w:t xml:space="preserve"> can be considered to deal with the characteristic of large and variable packet size for UL AR video traffic model.</w:t>
      </w:r>
      <w:r>
        <w:rPr>
          <w:rFonts w:hint="eastAsia"/>
        </w:rPr>
        <w:fldChar w:fldCharType="end"/>
      </w:r>
    </w:p>
    <w:p>
      <w:pPr>
        <w:pStyle w:val="13"/>
        <w:tabs>
          <w:tab w:val="right" w:leader="dot" w:pos="9660"/>
          <w:tab w:val="clear" w:pos="0"/>
        </w:tabs>
        <w:spacing w:before="120" w:after="120"/>
      </w:pPr>
      <w:r>
        <w:fldChar w:fldCharType="begin"/>
      </w:r>
      <w:r>
        <w:instrText xml:space="preserve"> HYPERLINK \l "_Toc15114" </w:instrText>
      </w:r>
      <w:r>
        <w:fldChar w:fldCharType="separate"/>
      </w:r>
      <w:r>
        <w:t xml:space="preserve">Observation 5: </w:t>
      </w:r>
      <w:r>
        <w:rPr>
          <w:rFonts w:hint="eastAsia"/>
        </w:rPr>
        <w:t>XR-awareness information is helpful for configuration of increased CG PUSCH transmission occasion(s) in a duration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"_Toc13023" </w:instrText>
      </w:r>
      <w:r>
        <w:fldChar w:fldCharType="separate"/>
      </w:r>
      <w:r>
        <w:t xml:space="preserve">Observation 6: </w:t>
      </w:r>
      <w:r>
        <w:rPr>
          <w:rFonts w:hint="eastAsia"/>
        </w:rPr>
        <w:t>CG PUSCH transmission occasions may be over-configured in a duration, which causes resource waste and leads to capacity performance loss.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"_Toc15637" </w:instrText>
      </w:r>
      <w:r>
        <w:fldChar w:fldCharType="separate"/>
      </w:r>
      <w:r>
        <w:t xml:space="preserve">Observation 7: </w:t>
      </w:r>
      <w:r>
        <w:rPr>
          <w:rFonts w:hint="eastAsia"/>
        </w:rPr>
        <w:t>Based on the</w:t>
      </w:r>
      <w:r>
        <w:t xml:space="preserve"> </w:t>
      </w:r>
      <w:r>
        <w:rPr>
          <w:rFonts w:hint="eastAsia"/>
        </w:rPr>
        <w:t xml:space="preserve">resource configuration of the BS, the UE </w:t>
      </w:r>
      <w:r>
        <w:t>can</w:t>
      </w:r>
      <w:r>
        <w:rPr>
          <w:rFonts w:hint="eastAsia"/>
        </w:rPr>
        <w:t xml:space="preserve"> estimate the CG occasions usage</w:t>
      </w:r>
      <w:r>
        <w:t xml:space="preserve">, and </w:t>
      </w:r>
      <w:r>
        <w:rPr>
          <w:rFonts w:hint="eastAsia"/>
        </w:rPr>
        <w:t xml:space="preserve">UE </w:t>
      </w:r>
      <w:r>
        <w:t>decides whether or not report Resource Release</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"_Toc10502" </w:instrText>
      </w:r>
      <w:r>
        <w:fldChar w:fldCharType="separate"/>
      </w:r>
      <w:r>
        <w:t xml:space="preserve">Observation 8: </w:t>
      </w:r>
      <w:r>
        <w:rPr>
          <w:rFonts w:hint="eastAsia"/>
        </w:rPr>
        <w:t>Release indication for unused CG PUSCHs can be carried by L1/L2 signaling.</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"_Toc26217" </w:instrText>
      </w:r>
      <w:r>
        <w:fldChar w:fldCharType="separate"/>
      </w:r>
      <w:r>
        <w:t xml:space="preserve">Observation 9: </w:t>
      </w:r>
      <w:r>
        <w:rPr>
          <w:rFonts w:hint="eastAsia"/>
        </w:rPr>
        <w:t xml:space="preserve">CG enhancement is capable of bringing significant capacity gain compared to UL dynamic grant and legacy configured grant. </w:t>
      </w:r>
      <w:r>
        <w:t>Moreover,</w:t>
      </w:r>
      <w:r>
        <w:rPr>
          <w:rFonts w:hint="eastAsia"/>
        </w:rPr>
        <w:t xml:space="preserve"> capacity gain increases when </w:t>
      </w:r>
      <w:r>
        <w:t xml:space="preserve">the required </w:t>
      </w:r>
      <w:r>
        <w:rPr>
          <w:rFonts w:hint="eastAsia"/>
        </w:rPr>
        <w:t xml:space="preserve">PDB </w:t>
      </w:r>
      <w:r>
        <w:t>decreases</w:t>
      </w:r>
      <w:r>
        <w:rPr>
          <w:rFonts w:hint="eastAsia"/>
        </w:rPr>
        <w:t xml:space="preserve"> or the data rate increases.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"_Toc1999" </w:instrText>
      </w:r>
      <w:r>
        <w:fldChar w:fldCharType="separate"/>
      </w:r>
      <w:r>
        <w:t xml:space="preserve">Observation 10: </w:t>
      </w:r>
      <w:r>
        <w:rPr>
          <w:rFonts w:hint="eastAsia"/>
        </w:rPr>
        <w:t>The capacity performance of hybrid CG+DG is slight</w:t>
      </w:r>
      <w:r>
        <w:t>ly</w:t>
      </w:r>
      <w:r>
        <w:rPr>
          <w:rFonts w:hint="eastAsia"/>
        </w:rPr>
        <w:t xml:space="preserve"> better than that of DG baseline</w:t>
      </w:r>
      <w:r>
        <w:t>.</w:t>
      </w:r>
      <w:r>
        <w:fldChar w:fldCharType="end"/>
      </w:r>
    </w:p>
    <w:p>
      <w:pPr>
        <w:pStyle w:val="13"/>
        <w:tabs>
          <w:tab w:val="right" w:leader="dot" w:pos="9660"/>
          <w:tab w:val="clear" w:pos="0"/>
        </w:tabs>
        <w:spacing w:before="120" w:after="120"/>
      </w:pPr>
      <w:r>
        <w:fldChar w:fldCharType="begin"/>
      </w:r>
      <w:r>
        <w:instrText xml:space="preserve"> HYPERLINK \l "_Toc16222" </w:instrText>
      </w:r>
      <w:r>
        <w:fldChar w:fldCharType="separate"/>
      </w:r>
      <w:r>
        <w:t xml:space="preserve">Observation 11: </w:t>
      </w:r>
      <w:r>
        <w:rPr>
          <w:rFonts w:hint="eastAsia"/>
        </w:rPr>
        <w:t>The capacity performance of eCG outperforms that of hybrid CG+DG.</w:t>
      </w:r>
      <w:r>
        <w:rPr>
          <w:rFonts w:hint="eastAsia"/>
        </w:rPr>
        <w:fldChar w:fldCharType="end"/>
      </w:r>
    </w:p>
    <w:p>
      <w:pPr>
        <w:pStyle w:val="13"/>
        <w:tabs>
          <w:tab w:val="right" w:leader="dot" w:pos="9660"/>
          <w:tab w:val="clear" w:pos="0"/>
        </w:tabs>
        <w:spacing w:before="120" w:after="120"/>
      </w:pPr>
      <w:r>
        <w:fldChar w:fldCharType="begin"/>
      </w:r>
      <w:r>
        <w:instrText xml:space="preserve"> HYPERLINK \l "_Toc3099" </w:instrText>
      </w:r>
      <w:r>
        <w:fldChar w:fldCharType="separate"/>
      </w:r>
      <w:r>
        <w:t xml:space="preserve">Observation 12: </w:t>
      </w:r>
      <w:r>
        <w:rPr>
          <w:rFonts w:hint="eastAsia"/>
        </w:rPr>
        <w:t xml:space="preserve">For the transmission schemes </w:t>
      </w:r>
      <w:r>
        <w:t>that rely</w:t>
      </w:r>
      <w:r>
        <w:rPr>
          <w:rFonts w:hint="eastAsia"/>
        </w:rPr>
        <w:t xml:space="preserve"> on BSR signaling, including e.g., dynamic grant, hybrid CG+DG, the BSR failure transmission enlarges the transmission delay and causes performance loss, especially for the traffic with stringent PDB.</w:t>
      </w:r>
      <w:r>
        <w:rPr>
          <w:rFonts w:hint="eastAsia"/>
        </w:rPr>
        <w:fldChar w:fldCharType="end"/>
      </w:r>
    </w:p>
    <w:p>
      <w:pPr>
        <w:pStyle w:val="13"/>
        <w:tabs>
          <w:tab w:val="right" w:leader="dot" w:pos="9660"/>
          <w:tab w:val="clear" w:pos="0"/>
        </w:tabs>
        <w:spacing w:before="120" w:after="120"/>
      </w:pPr>
      <w:r>
        <w:fldChar w:fldCharType="begin"/>
      </w:r>
      <w:r>
        <w:instrText xml:space="preserve"> HYPERLINK \l "_Toc14229" </w:instrText>
      </w:r>
      <w:r>
        <w:fldChar w:fldCharType="separate"/>
      </w:r>
      <w:r>
        <w:rPr>
          <w:szCs w:val="21"/>
        </w:rPr>
        <w:t xml:space="preserve">Observation 13: </w:t>
      </w:r>
      <w:r>
        <w:rPr>
          <w:rFonts w:hint="eastAsia"/>
        </w:rPr>
        <w:t>To address capacity performance loss caused by overestimated packet sizes based on legacy BSR indication in uplink transmission, precise BSR indication can bring capacity performance gain.</w:t>
      </w:r>
      <w:r>
        <w:rPr>
          <w:rFonts w:hint="eastAsia"/>
        </w:rPr>
        <w:fldChar w:fldCharType="end"/>
      </w:r>
    </w:p>
    <w:p>
      <w:pPr>
        <w:pStyle w:val="13"/>
        <w:tabs>
          <w:tab w:val="right" w:leader="dot" w:pos="9660"/>
          <w:tab w:val="clear" w:pos="0"/>
        </w:tabs>
        <w:spacing w:before="120" w:after="120"/>
      </w:pPr>
      <w:r>
        <w:fldChar w:fldCharType="begin"/>
      </w:r>
      <w:r>
        <w:instrText xml:space="preserve"> HYPERLINK \l "_Toc31812" </w:instrText>
      </w:r>
      <w:r>
        <w:fldChar w:fldCharType="separate"/>
      </w:r>
      <w:r>
        <w:t>Observation 14: Given the advantage</w:t>
      </w:r>
      <w:r>
        <w:rPr>
          <w:rFonts w:hint="eastAsia"/>
        </w:rPr>
        <w:t>s</w:t>
      </w:r>
      <w:r>
        <w:t xml:space="preserve"> of </w:t>
      </w:r>
      <w:r>
        <w:rPr>
          <w:rFonts w:hint="eastAsia"/>
        </w:rPr>
        <w:t>reduc</w:t>
      </w:r>
      <w:r>
        <w:t>ing</w:t>
      </w:r>
      <w:r>
        <w:rPr>
          <w:rFonts w:hint="eastAsia"/>
        </w:rPr>
        <w:t xml:space="preserve"> overhead of downlink control signaling and transmission latency,</w:t>
      </w:r>
      <w:r>
        <w:t xml:space="preserve"> </w:t>
      </w:r>
      <w:r>
        <w:rPr>
          <w:rFonts w:hint="eastAsia"/>
        </w:rPr>
        <w:t xml:space="preserve">SPS </w:t>
      </w:r>
      <w:r>
        <w:t>mechanism</w:t>
      </w:r>
      <w:r>
        <w:rPr>
          <w:rFonts w:hint="eastAsia"/>
        </w:rPr>
        <w:t xml:space="preserve"> </w:t>
      </w:r>
      <w:r>
        <w:t xml:space="preserve">can be </w:t>
      </w:r>
      <w:r>
        <w:rPr>
          <w:rFonts w:hint="eastAsia"/>
        </w:rPr>
        <w:t>further studied</w:t>
      </w:r>
      <w:r>
        <w:t xml:space="preserve"> for </w:t>
      </w:r>
      <w:r>
        <w:rPr>
          <w:rFonts w:hint="eastAsia"/>
        </w:rPr>
        <w:t>XR-specific capacity enhancement</w:t>
      </w:r>
      <w:r>
        <w:t>.</w:t>
      </w:r>
      <w:r>
        <w:fldChar w:fldCharType="end"/>
      </w:r>
    </w:p>
    <w:p>
      <w:pPr>
        <w:pStyle w:val="13"/>
        <w:tabs>
          <w:tab w:val="right" w:leader="dot" w:pos="9660"/>
          <w:tab w:val="clear" w:pos="0"/>
        </w:tabs>
        <w:spacing w:before="120" w:after="120"/>
      </w:pPr>
      <w:r>
        <w:fldChar w:fldCharType="begin"/>
      </w:r>
      <w:r>
        <w:instrText xml:space="preserve"> HYPERLINK \l "_Toc9297" </w:instrText>
      </w:r>
      <w:r>
        <w:fldChar w:fldCharType="separate"/>
      </w:r>
      <w:r>
        <w:t>Observation 15: Given the advantage</w:t>
      </w:r>
      <w:r>
        <w:rPr>
          <w:rFonts w:hint="eastAsia"/>
        </w:rPr>
        <w:t>s</w:t>
      </w:r>
      <w:r>
        <w:t xml:space="preserve"> of </w:t>
      </w:r>
      <w:r>
        <w:rPr>
          <w:rFonts w:hint="eastAsia"/>
        </w:rPr>
        <w:t>guaranteeing streams with both high priority and low priority transmission for multi-stream model in case of resource starvation,</w:t>
      </w:r>
      <w:r>
        <w:t xml:space="preserve"> </w:t>
      </w:r>
      <w:r>
        <w:rPr>
          <w:rFonts w:hint="eastAsia"/>
        </w:rPr>
        <w:t xml:space="preserve">adaptive intra/inter UE prioritization/multiplexing enhancement </w:t>
      </w:r>
      <w:r>
        <w:t>can be</w:t>
      </w:r>
      <w:r>
        <w:rPr>
          <w:rFonts w:hint="eastAsia"/>
        </w:rPr>
        <w:t xml:space="preserve"> further studied for XR-specific capacity enhancement</w:t>
      </w:r>
      <w:r>
        <w:t>.</w:t>
      </w:r>
      <w:r>
        <w:fldChar w:fldCharType="end"/>
      </w:r>
    </w:p>
    <w:p>
      <w:pPr>
        <w:pStyle w:val="13"/>
        <w:tabs>
          <w:tab w:val="right" w:leader="dot" w:pos="9660"/>
          <w:tab w:val="clear" w:pos="0"/>
        </w:tabs>
        <w:spacing w:before="120" w:after="120"/>
      </w:pPr>
      <w:r>
        <w:fldChar w:fldCharType="begin"/>
      </w:r>
      <w:r>
        <w:instrText xml:space="preserve"> HYPERLINK \l "_Toc10120" </w:instrText>
      </w:r>
      <w:r>
        <w:fldChar w:fldCharType="separate"/>
      </w:r>
      <w:r>
        <w:t>Observation 16: Given the advantage</w:t>
      </w:r>
      <w:r>
        <w:rPr>
          <w:rFonts w:hint="eastAsia"/>
        </w:rPr>
        <w:t>s</w:t>
      </w:r>
      <w:r>
        <w:t xml:space="preserve"> of </w:t>
      </w:r>
      <w:r>
        <w:rPr>
          <w:rFonts w:hint="eastAsia"/>
        </w:rPr>
        <w:t>guaranteeing the reliability of re-transmission and reduce the re-transmission time, delta MCS can be further studied for XR-specific capacity enhancement.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"_Toc21181" </w:instrText>
      </w:r>
      <w:r>
        <w:fldChar w:fldCharType="separate"/>
      </w:r>
      <w:r>
        <w:t>Observation 17: Given the advantage</w:t>
      </w:r>
      <w:r>
        <w:rPr>
          <w:rFonts w:hint="eastAsia"/>
        </w:rPr>
        <w:t>s</w:t>
      </w:r>
      <w:r>
        <w:t xml:space="preserve"> of </w:t>
      </w:r>
      <w:r>
        <w:rPr>
          <w:rFonts w:hint="eastAsia"/>
        </w:rPr>
        <w:t>guaranteeing the transmission reliability by providing</w:t>
      </w:r>
      <w:r>
        <w:t xml:space="preserve"> coding gain with</w:t>
      </w:r>
      <w:r>
        <w:rPr>
          <w:rFonts w:hint="eastAsia"/>
        </w:rPr>
        <w:t xml:space="preserve"> better error detection and correction </w:t>
      </w:r>
      <w:r>
        <w:t>performance</w:t>
      </w:r>
      <w:r>
        <w:rPr>
          <w:rFonts w:hint="eastAsia"/>
        </w:rPr>
        <w:t>, network coding can be further studied for XR-specific capacity enhancement.</w:t>
      </w:r>
      <w:r>
        <w:rPr>
          <w:rFonts w:hint="eastAsia"/>
        </w:rPr>
        <w:fldChar w:fldCharType="end"/>
      </w:r>
    </w:p>
    <w:p>
      <w:pPr>
        <w:spacing w:before="120" w:after="120"/>
        <w:rPr>
          <w:szCs w:val="22"/>
        </w:rPr>
      </w:pPr>
      <w:r>
        <w:rPr>
          <w:szCs w:val="22"/>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"_Toc118728217" </w:instrText>
      </w:r>
      <w:r>
        <w:fldChar w:fldCharType="separate"/>
      </w:r>
      <w:r>
        <w:rPr>
          <w:rStyle w:val="21"/>
        </w:rPr>
        <w:t>Proposal 1:</w:t>
      </w:r>
      <w:r>
        <w:rPr>
          <w:rFonts w:asciiTheme="minorHAnsi" w:hAnsiTheme="minorHAnsi" w:eastAsiaTheme="minorEastAsia" w:cstheme="minorBidi"/>
          <w:b w:val="0"/>
          <w:bCs w:val="0"/>
          <w:i w:val="0"/>
          <w:iCs w:val="0"/>
          <w:sz w:val="21"/>
          <w:szCs w:val="22"/>
        </w:rPr>
        <w:tab/>
      </w:r>
      <w:r>
        <w:rPr>
          <w:rStyle w:val="21"/>
        </w:rPr>
        <w:t>Support increased CG PUSCH transmission occasion(s) in a duration in Rel-18 XR WI.</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"_Toc118728218" </w:instrText>
      </w:r>
      <w:r>
        <w:fldChar w:fldCharType="separate"/>
      </w:r>
      <w:r>
        <w:rPr>
          <w:rStyle w:val="21"/>
        </w:rPr>
        <w:t>Proposal 2:</w:t>
      </w:r>
      <w:r>
        <w:rPr>
          <w:rFonts w:asciiTheme="minorHAnsi" w:hAnsiTheme="minorHAnsi" w:eastAsiaTheme="minorEastAsia" w:cstheme="minorBidi"/>
          <w:b w:val="0"/>
          <w:bCs w:val="0"/>
          <w:i w:val="0"/>
          <w:iCs w:val="0"/>
          <w:sz w:val="21"/>
          <w:szCs w:val="22"/>
        </w:rPr>
        <w:tab/>
      </w:r>
      <w:r>
        <w:rPr>
          <w:rStyle w:val="21"/>
        </w:rPr>
        <w:t>Owing to limited TU, both single CG configuration with multiple PUSCH occasions per CG period (Alt 1) and single DCI based activation of multiple CG configurations (Alt 2) should be included in Rel-18 XR WI and down-selected late.</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"_Toc118728219" </w:instrText>
      </w:r>
      <w:r>
        <w:fldChar w:fldCharType="separate"/>
      </w:r>
      <w:r>
        <w:rPr>
          <w:rStyle w:val="21"/>
        </w:rPr>
        <w:t>Proposal 3:</w:t>
      </w:r>
      <w:r>
        <w:rPr>
          <w:rFonts w:asciiTheme="minorHAnsi" w:hAnsiTheme="minorHAnsi" w:eastAsiaTheme="minorEastAsia" w:cstheme="minorBidi"/>
          <w:b w:val="0"/>
          <w:bCs w:val="0"/>
          <w:i w:val="0"/>
          <w:iCs w:val="0"/>
          <w:sz w:val="21"/>
          <w:szCs w:val="22"/>
        </w:rPr>
        <w:tab/>
      </w:r>
      <w:r>
        <w:rPr>
          <w:rStyle w:val="21"/>
        </w:rPr>
        <w:t>Support dynamic indication of unused CG PUSCH occasion(s) or resource(s) by the UE for Rel-18 XR in order to address the problem of resource waste in increased CG PUSCH occasion(s) in a period.</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"_Toc118728220" </w:instrText>
      </w:r>
      <w:r>
        <w:fldChar w:fldCharType="separate"/>
      </w:r>
      <w:r>
        <w:rPr>
          <w:rStyle w:val="21"/>
        </w:rPr>
        <w:t>Proposal 4:</w:t>
      </w:r>
      <w:r>
        <w:rPr>
          <w:rFonts w:asciiTheme="minorHAnsi" w:hAnsiTheme="minorHAnsi" w:eastAsiaTheme="minorEastAsia" w:cstheme="minorBidi"/>
          <w:b w:val="0"/>
          <w:bCs w:val="0"/>
          <w:i w:val="0"/>
          <w:iCs w:val="0"/>
          <w:sz w:val="21"/>
          <w:szCs w:val="22"/>
        </w:rPr>
        <w:tab/>
      </w:r>
      <w:r>
        <w:rPr>
          <w:rStyle w:val="21"/>
        </w:rPr>
        <w:t>Suggest to capture the evaluation results of BSR enhancement provided by companies in RAN1 into TR 38.835.</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"_Toc118728221" </w:instrText>
      </w:r>
      <w:r>
        <w:fldChar w:fldCharType="separate"/>
      </w:r>
      <w:r>
        <w:rPr>
          <w:rStyle w:val="21"/>
        </w:rPr>
        <w:t>Proposal 5:</w:t>
      </w:r>
      <w:r>
        <w:rPr>
          <w:rFonts w:asciiTheme="minorHAnsi" w:hAnsiTheme="minorHAnsi" w:eastAsiaTheme="minorEastAsia" w:cstheme="minorBidi"/>
          <w:b w:val="0"/>
          <w:bCs w:val="0"/>
          <w:i w:val="0"/>
          <w:iCs w:val="0"/>
          <w:sz w:val="21"/>
          <w:szCs w:val="22"/>
        </w:rPr>
        <w:tab/>
      </w:r>
      <w:r>
        <w:rPr>
          <w:rStyle w:val="21"/>
        </w:rPr>
        <w:t>Suggest to capture SPS enhancement techniques as well as their evaluation results proposed by companies into TR38.835.</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"_Toc118728222" </w:instrText>
      </w:r>
      <w:r>
        <w:fldChar w:fldCharType="separate"/>
      </w:r>
      <w:r>
        <w:rPr>
          <w:rStyle w:val="21"/>
        </w:rPr>
        <w:t>Proposal 6:</w:t>
      </w:r>
      <w:r>
        <w:rPr>
          <w:rFonts w:asciiTheme="minorHAnsi" w:hAnsiTheme="minorHAnsi" w:eastAsiaTheme="minorEastAsia" w:cstheme="minorBidi"/>
          <w:b w:val="0"/>
          <w:bCs w:val="0"/>
          <w:i w:val="0"/>
          <w:iCs w:val="0"/>
          <w:sz w:val="21"/>
          <w:szCs w:val="22"/>
        </w:rPr>
        <w:tab/>
      </w:r>
      <w:r>
        <w:rPr>
          <w:rStyle w:val="21"/>
        </w:rPr>
        <w:t>Suggest to capture the evaluation results of adaptive inter-UE/intra-UE multiplexing enhancement provided by companies into TR38.835.</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"_Toc118728223" </w:instrText>
      </w:r>
      <w:r>
        <w:fldChar w:fldCharType="separate"/>
      </w:r>
      <w:r>
        <w:rPr>
          <w:rStyle w:val="21"/>
        </w:rPr>
        <w:t>Proposal 7:</w:t>
      </w:r>
      <w:r>
        <w:rPr>
          <w:rFonts w:asciiTheme="minorHAnsi" w:hAnsiTheme="minorHAnsi" w:eastAsiaTheme="minorEastAsia" w:cstheme="minorBidi"/>
          <w:b w:val="0"/>
          <w:bCs w:val="0"/>
          <w:i w:val="0"/>
          <w:iCs w:val="0"/>
          <w:sz w:val="21"/>
          <w:szCs w:val="22"/>
        </w:rPr>
        <w:tab/>
      </w:r>
      <w:r>
        <w:rPr>
          <w:rStyle w:val="21"/>
        </w:rPr>
        <w:t>Suggest to capture the evaluation results of delta MCS provided by companies into TR38.835.</w:t>
      </w:r>
      <w:r>
        <w:rPr>
          <w:rStyle w:val="21"/>
        </w:rPr>
        <w:fldChar w:fldCharType="end"/>
      </w:r>
    </w:p>
    <w:p>
      <w:pPr>
        <w:pStyle w:val="13"/>
        <w:tabs>
          <w:tab w:val="left" w:pos="126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"_Toc118728224" </w:instrText>
      </w:r>
      <w:r>
        <w:fldChar w:fldCharType="separate"/>
      </w:r>
      <w:r>
        <w:rPr>
          <w:rStyle w:val="21"/>
        </w:rPr>
        <w:t>Proposal 8:</w:t>
      </w:r>
      <w:r>
        <w:rPr>
          <w:rFonts w:asciiTheme="minorHAnsi" w:hAnsiTheme="minorHAnsi" w:eastAsiaTheme="minorEastAsia" w:cstheme="minorBidi"/>
          <w:b w:val="0"/>
          <w:bCs w:val="0"/>
          <w:i w:val="0"/>
          <w:iCs w:val="0"/>
          <w:sz w:val="21"/>
          <w:szCs w:val="22"/>
        </w:rPr>
        <w:tab/>
      </w:r>
      <w:r>
        <w:rPr>
          <w:rStyle w:val="21"/>
        </w:rPr>
        <w:t>Suggest to capture the evaluation results of network coding provided by companies into TR38.835.</w:t>
      </w:r>
      <w:r>
        <w:rPr>
          <w:rStyle w:val="21"/>
        </w:rPr>
        <w:fldChar w:fldCharType="end"/>
      </w:r>
    </w:p>
    <w:p>
      <w:pPr>
        <w:spacing w:before="120" w:after="120"/>
        <w:rPr>
          <w:szCs w:val="22"/>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30"/>
        <w:spacing w:before="120" w:after="120"/>
        <w:ind w:left="363" w:hanging="363"/>
        <w:rPr>
          <w:rFonts w:hint="default" w:ascii="Times New Roman" w:hAnsi="Times New Roman" w:cs="Times New Roman"/>
          <w:sz w:val="20"/>
          <w:szCs w:val="20"/>
        </w:rPr>
      </w:pPr>
      <w:bookmarkStart w:id="25" w:name="_Ref18691"/>
      <w:r>
        <w:rPr>
          <w:sz w:val="20"/>
          <w:szCs w:val="20"/>
        </w:rPr>
        <w:t>“</w:t>
      </w:r>
      <w:r>
        <w:rPr>
          <w:rFonts w:hint="default" w:ascii="Times New Roman" w:hAnsi="Times New Roman" w:cs="Times New Roman"/>
          <w:sz w:val="20"/>
          <w:szCs w:val="20"/>
        </w:rPr>
        <w:t>RAN1 Chair’s Notes”, 3GPP TSG RAN WG1 #110bis-e</w:t>
      </w:r>
      <w:r>
        <w:rPr>
          <w:rFonts w:hint="default" w:ascii="Times New Roman" w:hAnsi="Times New Roman" w:cs="Times New Roman"/>
          <w:sz w:val="20"/>
          <w:szCs w:val="20"/>
        </w:rPr>
        <w:tab/>
      </w:r>
      <w:r>
        <w:rPr>
          <w:rFonts w:hint="default" w:ascii="Times New Roman" w:hAnsi="Times New Roman" w:cs="Times New Roman"/>
          <w:sz w:val="20"/>
          <w:szCs w:val="20"/>
        </w:rPr>
        <w:t>e-Meeting, October 10th–19th, 2022.</w:t>
      </w:r>
    </w:p>
    <w:p>
      <w:pPr>
        <w:pStyle w:val="30"/>
        <w:spacing w:before="120" w:after="120"/>
        <w:ind w:left="363" w:hanging="363"/>
        <w:rPr>
          <w:rFonts w:hint="default" w:ascii="Times New Roman" w:hAnsi="Times New Roman" w:cs="Times New Roman"/>
          <w:sz w:val="20"/>
          <w:szCs w:val="20"/>
        </w:rPr>
      </w:pPr>
      <w:r>
        <w:rPr>
          <w:rFonts w:hint="default" w:ascii="Times New Roman" w:hAnsi="Times New Roman" w:cs="Times New Roman"/>
          <w:sz w:val="20"/>
          <w:szCs w:val="20"/>
        </w:rPr>
        <w:t>3GPP TR 38.</w:t>
      </w:r>
      <w:bookmarkStart w:id="31" w:name="_GoBack"/>
      <w:bookmarkEnd w:id="31"/>
      <w:r>
        <w:rPr>
          <w:rFonts w:hint="default" w:ascii="Times New Roman" w:hAnsi="Times New Roman" w:cs="Times New Roman"/>
          <w:sz w:val="20"/>
          <w:szCs w:val="20"/>
        </w:rPr>
        <w:t>838, Study on XR (Extended Reality) Evaluations for NR.</w:t>
      </w:r>
    </w:p>
    <w:p>
      <w:pPr>
        <w:pStyle w:val="30"/>
        <w:spacing w:before="120" w:after="120"/>
        <w:ind w:left="363" w:hanging="363"/>
        <w:rPr>
          <w:rFonts w:hint="default" w:ascii="Times New Roman" w:hAnsi="Times New Roman" w:cs="Times New Roman"/>
          <w:sz w:val="20"/>
          <w:szCs w:val="20"/>
        </w:rPr>
      </w:pPr>
      <w:r>
        <w:rPr>
          <w:rFonts w:hint="default" w:ascii="Times New Roman" w:hAnsi="Times New Roman" w:cs="Times New Roman"/>
          <w:sz w:val="20"/>
          <w:szCs w:val="20"/>
          <w:lang w:eastAsia="ja-JP"/>
        </w:rPr>
        <w:t>R1-22</w:t>
      </w:r>
      <w:r>
        <w:rPr>
          <w:rFonts w:hint="default" w:ascii="Times New Roman" w:hAnsi="Times New Roman" w:cs="Times New Roman"/>
          <w:sz w:val="20"/>
          <w:szCs w:val="20"/>
        </w:rPr>
        <w:t>09198, “XR specific capacity enhancements”, ZTE, Sanechips, 3GPP TSG RAN WG1 meeting #110bis-e e-Meeting, Oct. 10th–19th, 2022</w:t>
      </w:r>
    </w:p>
    <w:p>
      <w:pPr>
        <w:pStyle w:val="30"/>
        <w:spacing w:before="120" w:after="120"/>
        <w:ind w:left="363" w:hanging="363"/>
        <w:rPr>
          <w:rFonts w:hint="default" w:ascii="Times New Roman" w:hAnsi="Times New Roman" w:cs="Times New Roman"/>
          <w:sz w:val="20"/>
          <w:szCs w:val="20"/>
        </w:rPr>
      </w:pPr>
      <w:r>
        <w:rPr>
          <w:rFonts w:hint="default" w:ascii="Times New Roman" w:hAnsi="Times New Roman" w:cs="Times New Roman"/>
          <w:sz w:val="20"/>
          <w:szCs w:val="20"/>
        </w:rPr>
        <w:t xml:space="preserve">“RAN1 Chair’s Notes”, 3GPP TSG RAN WG1 #110, </w:t>
      </w:r>
      <w:r>
        <w:rPr>
          <w:rFonts w:hint="default" w:ascii="Times New Roman" w:hAnsi="Times New Roman" w:cs="Times New Roman"/>
          <w:sz w:val="20"/>
          <w:szCs w:val="20"/>
          <w:lang w:eastAsia="ja-JP"/>
        </w:rPr>
        <w:t>Toulouse, France, August 22nd–26th, 2022</w:t>
      </w:r>
    </w:p>
    <w:p>
      <w:pPr>
        <w:pStyle w:val="30"/>
        <w:spacing w:before="120" w:after="120"/>
        <w:ind w:left="363" w:hanging="363"/>
        <w:rPr>
          <w:rFonts w:hint="default" w:ascii="Times New Roman" w:hAnsi="Times New Roman" w:cs="Times New Roman"/>
          <w:sz w:val="20"/>
          <w:szCs w:val="20"/>
        </w:rPr>
      </w:pPr>
      <w:r>
        <w:rPr>
          <w:rFonts w:hint="default" w:ascii="Times New Roman" w:hAnsi="Times New Roman" w:cs="Times New Roman"/>
          <w:sz w:val="20"/>
          <w:szCs w:val="20"/>
        </w:rPr>
        <w:t>R1-2203607, “Discussion on XR specific capacity enhancements techniques”, ZTE, Sanechips, 3GPP TSG RAN WG1 #109-e, e-Meeting, May 9th–20th, 2022</w:t>
      </w:r>
    </w:p>
    <w:p>
      <w:pPr>
        <w:pStyle w:val="30"/>
        <w:spacing w:before="120" w:after="120"/>
        <w:ind w:left="363" w:hanging="363"/>
        <w:rPr>
          <w:rFonts w:hint="default" w:ascii="Times New Roman" w:hAnsi="Times New Roman" w:cs="Times New Roman"/>
          <w:sz w:val="20"/>
          <w:szCs w:val="20"/>
        </w:rPr>
      </w:pPr>
      <w:r>
        <w:rPr>
          <w:rFonts w:hint="default" w:ascii="Times New Roman" w:hAnsi="Times New Roman" w:cs="Times New Roman"/>
          <w:sz w:val="20"/>
          <w:szCs w:val="20"/>
        </w:rPr>
        <w:t>“RAN1 Chair’s Notes”, 3GPP TSG RAN WG1 #109-e e-Meeting, May 9th–20th, 2022.</w:t>
      </w:r>
    </w:p>
    <w:p>
      <w:pPr>
        <w:pStyle w:val="2"/>
        <w:numPr>
          <w:ilvl w:val="0"/>
          <w:numId w:val="0"/>
        </w:numPr>
        <w:spacing w:before="120" w:after="120"/>
        <w:rPr>
          <w:rFonts w:eastAsia="宋体"/>
        </w:rPr>
      </w:pPr>
      <w:r>
        <w:rPr>
          <w:rFonts w:hint="eastAsia" w:eastAsia="宋体"/>
        </w:rPr>
        <w:t xml:space="preserve">Appendix </w:t>
      </w:r>
    </w:p>
    <w:p>
      <w:pPr>
        <w:pStyle w:val="3"/>
        <w:numPr>
          <w:ilvl w:val="0"/>
          <w:numId w:val="0"/>
        </w:numPr>
        <w:spacing w:before="120" w:after="120"/>
        <w:ind w:right="210"/>
        <w:rPr>
          <w:rFonts w:eastAsia="宋体"/>
        </w:rPr>
      </w:pPr>
      <w:r>
        <w:rPr>
          <w:rFonts w:hint="eastAsia" w:eastAsia="宋体"/>
        </w:rPr>
        <w:t>A Simulation Parameters</w:t>
      </w:r>
    </w:p>
    <w:p>
      <w:pPr>
        <w:pStyle w:val="6"/>
        <w:keepNext/>
        <w:spacing w:before="120" w:after="120"/>
        <w:jc w:val="center"/>
        <w:rPr>
          <w:rFonts w:ascii="Times New Roman" w:hAnsi="Times New Roman"/>
        </w:rPr>
      </w:pPr>
      <w:r>
        <w:rPr>
          <w:rFonts w:ascii="Times New Roman" w:hAnsi="Times New Roman"/>
        </w:rPr>
        <w:t>Table A</w:t>
      </w:r>
      <w:r>
        <w:rPr>
          <w:rFonts w:hint="eastAsia" w:ascii="Times New Roman" w:hAnsi="Times New Roman"/>
        </w:rPr>
        <w:t>.1</w:t>
      </w:r>
      <w:r>
        <w:rPr>
          <w:rFonts w:ascii="Times New Roman" w:hAnsi="Times New Roman"/>
        </w:rPr>
        <w:t xml:space="preserve"> simulation parameters for </w:t>
      </w:r>
      <w:r>
        <w:rPr>
          <w:rFonts w:hint="eastAsia" w:ascii="Times New Roman" w:hAnsi="Times New Roman"/>
        </w:rPr>
        <w:t>FR1 DL</w:t>
      </w:r>
    </w:p>
    <w:tbl>
      <w:tblPr>
        <w:tblStyle w:val="17"/>
        <w:tblW w:w="10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635"/>
        <w:gridCol w:w="2711"/>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center"/>
              <w:textAlignment w:val="center"/>
              <w:rPr>
                <w:b/>
                <w:color w:val="000000"/>
                <w:sz w:val="20"/>
              </w:rPr>
            </w:pPr>
            <w:r>
              <w:rPr>
                <w:b/>
                <w:color w:val="000000"/>
                <w:kern w:val="0"/>
                <w:sz w:val="20"/>
              </w:rPr>
              <w:t>Parameters</w:t>
            </w:r>
          </w:p>
        </w:tc>
        <w:tc>
          <w:tcPr>
            <w:tcW w:w="7967" w:type="dxa"/>
            <w:gridSpan w:val="3"/>
          </w:tcPr>
          <w:p>
            <w:pPr>
              <w:spacing w:before="120" w:after="120"/>
              <w:jc w:val="center"/>
              <w:textAlignment w:val="center"/>
              <w:rPr>
                <w:b/>
                <w:color w:val="000000"/>
                <w:kern w:val="0"/>
                <w:sz w:val="20"/>
              </w:rPr>
            </w:pPr>
            <w:r>
              <w:rPr>
                <w:b/>
                <w:color w:val="000000"/>
                <w:kern w:val="0"/>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2154" w:type="dxa"/>
            <w:vAlign w:val="center"/>
          </w:tcPr>
          <w:p>
            <w:pPr>
              <w:spacing w:before="120" w:after="120"/>
              <w:rPr>
                <w:color w:val="000000"/>
                <w:kern w:val="0"/>
                <w:sz w:val="20"/>
              </w:rPr>
            </w:pPr>
            <w:r>
              <w:rPr>
                <w:rFonts w:eastAsiaTheme="minorEastAsia"/>
              </w:rPr>
              <w:t>Scenario</w:t>
            </w:r>
          </w:p>
        </w:tc>
        <w:tc>
          <w:tcPr>
            <w:tcW w:w="2635" w:type="dxa"/>
          </w:tcPr>
          <w:p>
            <w:pPr>
              <w:spacing w:before="120" w:after="120"/>
              <w:rPr>
                <w:rFonts w:eastAsiaTheme="minorEastAsia"/>
              </w:rPr>
            </w:pPr>
            <w:r>
              <w:rPr>
                <w:rFonts w:eastAsiaTheme="minorEastAsia"/>
              </w:rPr>
              <w:t>Scenario-1: Indoor Hotspot</w:t>
            </w:r>
          </w:p>
          <w:p>
            <w:pPr>
              <w:spacing w:before="120" w:after="120"/>
              <w:rPr>
                <w:color w:val="000000"/>
                <w:kern w:val="0"/>
                <w:sz w:val="20"/>
              </w:rPr>
            </w:pPr>
            <w:r>
              <w:rPr>
                <w:rFonts w:eastAsiaTheme="minorEastAsia"/>
              </w:rPr>
              <w:t>12 nodes in 50 m x 120 m</w:t>
            </w:r>
          </w:p>
        </w:tc>
        <w:tc>
          <w:tcPr>
            <w:tcW w:w="2711" w:type="dxa"/>
          </w:tcPr>
          <w:p>
            <w:pPr>
              <w:spacing w:before="120" w:after="120"/>
              <w:rPr>
                <w:rFonts w:eastAsiaTheme="minorEastAsia"/>
              </w:rPr>
            </w:pPr>
            <w:r>
              <w:rPr>
                <w:rFonts w:eastAsiaTheme="minorEastAsia"/>
              </w:rPr>
              <w:t>Scenario-</w:t>
            </w:r>
            <w:r>
              <w:rPr>
                <w:rFonts w:hint="eastAsia" w:eastAsiaTheme="minorEastAsia"/>
              </w:rPr>
              <w:t>2</w:t>
            </w:r>
            <w:r>
              <w:rPr>
                <w:rFonts w:eastAsiaTheme="minorEastAsia"/>
              </w:rPr>
              <w:t>: Dense Urban</w:t>
            </w:r>
          </w:p>
          <w:p>
            <w:pPr>
              <w:spacing w:before="120" w:after="120"/>
              <w:rPr>
                <w:color w:val="000000"/>
                <w:kern w:val="0"/>
                <w:sz w:val="20"/>
              </w:rPr>
            </w:pPr>
            <w:r>
              <w:rPr>
                <w:rFonts w:eastAsiaTheme="minorEastAsia"/>
              </w:rPr>
              <w:t>hexagonal layout with 7, 3 Sectors</w:t>
            </w:r>
          </w:p>
        </w:tc>
        <w:tc>
          <w:tcPr>
            <w:tcW w:w="2621" w:type="dxa"/>
          </w:tcPr>
          <w:p>
            <w:pPr>
              <w:spacing w:before="120" w:after="120"/>
              <w:rPr>
                <w:rFonts w:eastAsiaTheme="minorEastAsia"/>
              </w:rPr>
            </w:pPr>
            <w:r>
              <w:rPr>
                <w:rFonts w:hint="eastAsia" w:eastAsiaTheme="minorEastAsia"/>
              </w:rPr>
              <w:t>Scenario-3: Urban Macro</w:t>
            </w:r>
          </w:p>
          <w:p>
            <w:pPr>
              <w:spacing w:before="120" w:after="120"/>
              <w:rPr>
                <w:rFonts w:eastAsiaTheme="minorEastAsia"/>
              </w:rPr>
            </w:pPr>
            <w:r>
              <w:rPr>
                <w:rFonts w:eastAsiaTheme="minorEastAsia"/>
              </w:rPr>
              <w:t>hexagonal layout with 7, 3 Sectors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Inter-BS distance</w:t>
            </w:r>
          </w:p>
        </w:tc>
        <w:tc>
          <w:tcPr>
            <w:tcW w:w="2635" w:type="dxa"/>
          </w:tcPr>
          <w:p>
            <w:pPr>
              <w:spacing w:before="120" w:after="120"/>
              <w:jc w:val="left"/>
              <w:textAlignment w:val="center"/>
              <w:rPr>
                <w:color w:val="000000"/>
                <w:sz w:val="20"/>
              </w:rPr>
            </w:pPr>
            <w:r>
              <w:rPr>
                <w:color w:val="000000"/>
                <w:kern w:val="0"/>
                <w:sz w:val="20"/>
              </w:rPr>
              <w:t>20m</w:t>
            </w:r>
          </w:p>
        </w:tc>
        <w:tc>
          <w:tcPr>
            <w:tcW w:w="2711" w:type="dxa"/>
          </w:tcPr>
          <w:p>
            <w:pPr>
              <w:spacing w:before="120" w:after="120"/>
              <w:jc w:val="left"/>
              <w:textAlignment w:val="center"/>
              <w:rPr>
                <w:color w:val="000000"/>
                <w:kern w:val="0"/>
                <w:sz w:val="20"/>
              </w:rPr>
            </w:pPr>
            <w:r>
              <w:rPr>
                <w:color w:val="000000"/>
                <w:kern w:val="0"/>
                <w:sz w:val="20"/>
              </w:rPr>
              <w:t>200m</w:t>
            </w:r>
          </w:p>
        </w:tc>
        <w:tc>
          <w:tcPr>
            <w:tcW w:w="2621" w:type="dxa"/>
          </w:tcPr>
          <w:p>
            <w:pPr>
              <w:spacing w:before="120" w:after="120"/>
              <w:jc w:val="left"/>
              <w:textAlignment w:val="center"/>
              <w:rPr>
                <w:color w:val="000000"/>
                <w:kern w:val="0"/>
                <w:sz w:val="20"/>
              </w:rPr>
            </w:pPr>
            <w:r>
              <w:rPr>
                <w:rFonts w:hint="eastAsia"/>
                <w:color w:val="000000"/>
                <w:kern w:val="0"/>
                <w:sz w:val="20"/>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Carrier frequency</w:t>
            </w:r>
          </w:p>
        </w:tc>
        <w:tc>
          <w:tcPr>
            <w:tcW w:w="7967" w:type="dxa"/>
            <w:gridSpan w:val="3"/>
          </w:tcPr>
          <w:p>
            <w:pPr>
              <w:spacing w:before="120" w:after="120"/>
              <w:jc w:val="left"/>
              <w:textAlignment w:val="center"/>
              <w:rPr>
                <w:color w:val="000000"/>
                <w:kern w:val="0"/>
                <w:sz w:val="20"/>
              </w:rPr>
            </w:pPr>
            <w:r>
              <w:rPr>
                <w:color w:val="000000"/>
                <w:kern w:val="0"/>
                <w:sz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jc w:val="left"/>
              <w:textAlignment w:val="center"/>
              <w:rPr>
                <w:color w:val="000000"/>
                <w:sz w:val="20"/>
              </w:rPr>
            </w:pPr>
            <w:r>
              <w:rPr>
                <w:color w:val="000000"/>
                <w:kern w:val="0"/>
                <w:sz w:val="20"/>
              </w:rPr>
              <w:t>Duplex Mode / Simulation bandwidth</w:t>
            </w:r>
          </w:p>
        </w:tc>
        <w:tc>
          <w:tcPr>
            <w:tcW w:w="7967" w:type="dxa"/>
            <w:gridSpan w:val="3"/>
          </w:tcPr>
          <w:p>
            <w:pPr>
              <w:spacing w:before="120" w:after="120"/>
              <w:jc w:val="left"/>
              <w:textAlignment w:val="center"/>
              <w:rPr>
                <w:color w:val="000000"/>
                <w:kern w:val="0"/>
                <w:sz w:val="20"/>
              </w:rPr>
            </w:pPr>
            <w:r>
              <w:rPr>
                <w:color w:val="000000"/>
                <w:kern w:val="0"/>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SCS</w:t>
            </w:r>
          </w:p>
        </w:tc>
        <w:tc>
          <w:tcPr>
            <w:tcW w:w="7967" w:type="dxa"/>
            <w:gridSpan w:val="3"/>
          </w:tcPr>
          <w:p>
            <w:pPr>
              <w:spacing w:before="120" w:after="120"/>
              <w:jc w:val="left"/>
              <w:textAlignment w:val="center"/>
              <w:rPr>
                <w:color w:val="000000"/>
                <w:kern w:val="0"/>
                <w:sz w:val="20"/>
              </w:rPr>
            </w:pPr>
            <w:r>
              <w:rPr>
                <w:color w:val="000000"/>
                <w:kern w:val="0"/>
                <w:sz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kern w:val="0"/>
                <w:sz w:val="20"/>
              </w:rPr>
            </w:pPr>
            <w:r>
              <w:rPr>
                <w:color w:val="000000"/>
                <w:kern w:val="0"/>
                <w:sz w:val="20"/>
              </w:rPr>
              <w:t>TDD pattern</w:t>
            </w:r>
          </w:p>
        </w:tc>
        <w:tc>
          <w:tcPr>
            <w:tcW w:w="7967" w:type="dxa"/>
            <w:gridSpan w:val="3"/>
          </w:tcPr>
          <w:p>
            <w:pPr>
              <w:spacing w:before="120" w:after="120"/>
              <w:jc w:val="left"/>
              <w:textAlignment w:val="center"/>
              <w:rPr>
                <w:color w:val="000000"/>
                <w:kern w:val="0"/>
                <w:sz w:val="20"/>
              </w:rPr>
            </w:pPr>
            <w:r>
              <w:rPr>
                <w:color w:val="000000"/>
                <w:kern w:val="0"/>
                <w:sz w:val="20"/>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154" w:type="dxa"/>
          </w:tcPr>
          <w:p>
            <w:pPr>
              <w:spacing w:before="120" w:after="120"/>
              <w:textAlignment w:val="center"/>
              <w:rPr>
                <w:color w:val="000000"/>
                <w:sz w:val="20"/>
              </w:rPr>
            </w:pPr>
            <w:r>
              <w:rPr>
                <w:color w:val="000000"/>
                <w:kern w:val="0"/>
                <w:sz w:val="20"/>
              </w:rPr>
              <w:t>BS Antenna Configuration</w:t>
            </w:r>
          </w:p>
        </w:tc>
        <w:tc>
          <w:tcPr>
            <w:tcW w:w="2635" w:type="dxa"/>
          </w:tcPr>
          <w:p>
            <w:pPr>
              <w:spacing w:before="120" w:after="120"/>
              <w:textAlignment w:val="center"/>
              <w:rPr>
                <w:b/>
                <w:color w:val="000000"/>
                <w:sz w:val="20"/>
              </w:rPr>
            </w:pPr>
            <w:r>
              <w:rPr>
                <w:rStyle w:val="32"/>
              </w:rPr>
              <w:t>32 Tx antenna ports, and (dH, dV) = (0.5λ, 0.5λ);</w:t>
            </w:r>
          </w:p>
          <w:p>
            <w:pPr>
              <w:spacing w:before="120" w:after="120"/>
              <w:textAlignment w:val="center"/>
              <w:rPr>
                <w:color w:val="000000"/>
                <w:sz w:val="20"/>
              </w:rPr>
            </w:pPr>
            <w:r>
              <w:rPr>
                <w:color w:val="000000"/>
                <w:kern w:val="0"/>
                <w:sz w:val="20"/>
              </w:rPr>
              <w:t xml:space="preserve">32TX:(M, N, P, Mg, Ng; Mp, Np) = (4,4, 2, 1, 1; 4, 4); </w:t>
            </w:r>
          </w:p>
          <w:p>
            <w:pPr>
              <w:spacing w:before="120" w:after="120"/>
              <w:textAlignment w:val="center"/>
              <w:rPr>
                <w:b/>
                <w:color w:val="000000"/>
                <w:sz w:val="20"/>
              </w:rPr>
            </w:pPr>
            <w:r>
              <w:rPr>
                <w:color w:val="000000"/>
                <w:kern w:val="0"/>
                <w:sz w:val="20"/>
              </w:rPr>
              <w:t>The antenna tilt is 90 degrees.</w:t>
            </w:r>
          </w:p>
        </w:tc>
        <w:tc>
          <w:tcPr>
            <w:tcW w:w="5332" w:type="dxa"/>
            <w:gridSpan w:val="2"/>
          </w:tcPr>
          <w:p>
            <w:pPr>
              <w:spacing w:before="120" w:after="120"/>
              <w:textAlignment w:val="center"/>
              <w:rPr>
                <w:b/>
                <w:color w:val="000000"/>
                <w:sz w:val="20"/>
              </w:rPr>
            </w:pPr>
            <w:r>
              <w:rPr>
                <w:rStyle w:val="32"/>
              </w:rPr>
              <w:t>64 Tx antenna ports, and (dH, dV) = (0.5λ, 0.5λ);</w:t>
            </w:r>
          </w:p>
          <w:p>
            <w:pPr>
              <w:spacing w:before="120" w:after="120"/>
              <w:textAlignment w:val="center"/>
              <w:rPr>
                <w:color w:val="000000"/>
                <w:sz w:val="20"/>
              </w:rPr>
            </w:pPr>
            <w:r>
              <w:rPr>
                <w:color w:val="000000"/>
                <w:kern w:val="0"/>
                <w:sz w:val="20"/>
              </w:rPr>
              <w:t xml:space="preserve">64TX:(M, N, P, Mg, Ng; Mp, Np) = (8,8, 2, 1, 1; 4, 8); </w:t>
            </w:r>
          </w:p>
          <w:p>
            <w:pPr>
              <w:spacing w:before="120" w:after="120"/>
              <w:textAlignment w:val="center"/>
              <w:rPr>
                <w:color w:val="000000"/>
                <w:kern w:val="0"/>
                <w:sz w:val="20"/>
              </w:rPr>
            </w:pPr>
            <w:r>
              <w:rPr>
                <w:color w:val="000000"/>
                <w:kern w:val="0"/>
                <w:sz w:val="20"/>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154" w:type="dxa"/>
          </w:tcPr>
          <w:p>
            <w:pPr>
              <w:spacing w:before="120" w:after="120"/>
              <w:textAlignment w:val="center"/>
              <w:rPr>
                <w:color w:val="000000"/>
                <w:sz w:val="20"/>
              </w:rPr>
            </w:pPr>
            <w:r>
              <w:rPr>
                <w:color w:val="000000"/>
                <w:kern w:val="0"/>
                <w:sz w:val="20"/>
              </w:rPr>
              <w:t>UE Antenna Configuration</w:t>
            </w:r>
          </w:p>
        </w:tc>
        <w:tc>
          <w:tcPr>
            <w:tcW w:w="2635" w:type="dxa"/>
          </w:tcPr>
          <w:p>
            <w:pPr>
              <w:spacing w:before="120" w:after="120"/>
              <w:textAlignment w:val="center"/>
            </w:pPr>
            <w:r>
              <w:rPr>
                <w:rStyle w:val="32"/>
              </w:rPr>
              <w:t>4 Rx antenna ports, and Panel model 1: dH = 0.5λ</w:t>
            </w:r>
          </w:p>
          <w:p>
            <w:pPr>
              <w:spacing w:before="120" w:after="120"/>
              <w:textAlignment w:val="center"/>
              <w:rPr>
                <w:color w:val="000000"/>
                <w:sz w:val="20"/>
              </w:rPr>
            </w:pPr>
            <w:r>
              <w:rPr>
                <w:color w:val="000000"/>
                <w:kern w:val="0"/>
                <w:sz w:val="20"/>
              </w:rPr>
              <w:t>4 Rx: (M, N, P, Mg, Ng; Mp, Np) = (1,2,2,1,1; 1,2);</w:t>
            </w:r>
          </w:p>
        </w:tc>
        <w:tc>
          <w:tcPr>
            <w:tcW w:w="5332" w:type="dxa"/>
            <w:gridSpan w:val="2"/>
          </w:tcPr>
          <w:p>
            <w:pPr>
              <w:spacing w:before="120" w:after="120"/>
              <w:textAlignment w:val="center"/>
            </w:pPr>
            <w:r>
              <w:rPr>
                <w:rStyle w:val="32"/>
              </w:rPr>
              <w:t>4 Rx antenna ports, and Panel model 1: dH = 0.5λ</w:t>
            </w:r>
          </w:p>
          <w:p>
            <w:pPr>
              <w:spacing w:before="120" w:after="120"/>
              <w:textAlignment w:val="center"/>
              <w:rPr>
                <w:color w:val="000000"/>
                <w:kern w:val="0"/>
                <w:sz w:val="20"/>
              </w:rPr>
            </w:pPr>
            <w:r>
              <w:rPr>
                <w:color w:val="000000"/>
                <w:kern w:val="0"/>
                <w:sz w:val="20"/>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textAlignment w:val="center"/>
              <w:rPr>
                <w:color w:val="000000"/>
                <w:sz w:val="20"/>
              </w:rPr>
            </w:pPr>
            <w:r>
              <w:rPr>
                <w:color w:val="000000"/>
                <w:kern w:val="0"/>
                <w:sz w:val="20"/>
              </w:rPr>
              <w:t>Transmit Power</w:t>
            </w:r>
          </w:p>
        </w:tc>
        <w:tc>
          <w:tcPr>
            <w:tcW w:w="2635" w:type="dxa"/>
          </w:tcPr>
          <w:p>
            <w:pPr>
              <w:spacing w:before="120" w:after="120"/>
              <w:textAlignment w:val="center"/>
              <w:rPr>
                <w:color w:val="000000"/>
                <w:sz w:val="20"/>
              </w:rPr>
            </w:pPr>
            <w:r>
              <w:rPr>
                <w:color w:val="000000"/>
                <w:kern w:val="0"/>
                <w:sz w:val="20"/>
              </w:rPr>
              <w:t>24 dBm per 20M at TRP, and 23 dBm at UE</w:t>
            </w:r>
          </w:p>
        </w:tc>
        <w:tc>
          <w:tcPr>
            <w:tcW w:w="5332" w:type="dxa"/>
            <w:gridSpan w:val="2"/>
          </w:tcPr>
          <w:p>
            <w:pPr>
              <w:spacing w:before="120" w:after="120"/>
              <w:textAlignment w:val="center"/>
              <w:rPr>
                <w:color w:val="000000"/>
                <w:kern w:val="0"/>
                <w:sz w:val="20"/>
              </w:rPr>
            </w:pPr>
            <w:r>
              <w:rPr>
                <w:color w:val="000000"/>
                <w:kern w:val="0"/>
                <w:sz w:val="20"/>
              </w:rPr>
              <w:t>44 dBm per 20M at TRP, and 23 dBm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pPr>
              <w:spacing w:before="120" w:after="120"/>
              <w:textAlignment w:val="center"/>
              <w:rPr>
                <w:color w:val="000000"/>
                <w:sz w:val="20"/>
              </w:rPr>
            </w:pPr>
            <w:r>
              <w:rPr>
                <w:color w:val="000000"/>
                <w:kern w:val="0"/>
                <w:sz w:val="20"/>
              </w:rPr>
              <w:t xml:space="preserve">3 m </w:t>
            </w:r>
          </w:p>
        </w:tc>
        <w:tc>
          <w:tcPr>
            <w:tcW w:w="5332" w:type="dxa"/>
            <w:gridSpan w:val="2"/>
          </w:tcPr>
          <w:p>
            <w:pPr>
              <w:spacing w:before="120" w:after="120"/>
              <w:textAlignment w:val="center"/>
              <w:rPr>
                <w:color w:val="000000"/>
                <w:kern w:val="0"/>
                <w:sz w:val="20"/>
              </w:rPr>
            </w:pPr>
            <w:r>
              <w:rPr>
                <w:color w:val="000000"/>
                <w:kern w:val="0"/>
                <w:sz w:val="20"/>
              </w:rPr>
              <w:t xml:space="preserve">25 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kern w:val="0"/>
                <w:sz w:val="20"/>
              </w:rPr>
            </w:pPr>
            <w:r>
              <w:rPr>
                <w:rFonts w:hint="eastAsia"/>
                <w:color w:val="000000"/>
                <w:kern w:val="0"/>
                <w:sz w:val="20"/>
              </w:rPr>
              <w:t>UE Height</w:t>
            </w:r>
          </w:p>
        </w:tc>
        <w:tc>
          <w:tcPr>
            <w:tcW w:w="2635" w:type="dxa"/>
          </w:tcPr>
          <w:p>
            <w:pPr>
              <w:spacing w:before="120" w:after="120"/>
              <w:textAlignment w:val="center"/>
              <w:rPr>
                <w:color w:val="000000"/>
                <w:kern w:val="0"/>
                <w:sz w:val="20"/>
              </w:rPr>
            </w:pPr>
            <w:r>
              <w:rPr>
                <w:rFonts w:hint="eastAsia"/>
                <w:color w:val="000000"/>
                <w:kern w:val="0"/>
                <w:sz w:val="20"/>
              </w:rPr>
              <w:t>1.5m</w:t>
            </w:r>
          </w:p>
        </w:tc>
        <w:tc>
          <w:tcPr>
            <w:tcW w:w="5332" w:type="dxa"/>
            <w:gridSpan w:val="2"/>
          </w:tcPr>
          <w:p>
            <w:pPr>
              <w:spacing w:before="120" w:after="120"/>
            </w:pPr>
            <w:r>
              <w:t>Outdoor UEs: 1.5 m</w:t>
            </w:r>
          </w:p>
          <w:p>
            <w:pPr>
              <w:spacing w:before="120" w:after="120"/>
            </w:pPr>
            <w:r>
              <w:t xml:space="preserve">Indoor UTs: 3(nfl – 1) + 1.5; </w:t>
            </w:r>
          </w:p>
          <w:p>
            <w:pPr>
              <w:spacing w:before="120" w:after="120"/>
            </w:pPr>
            <w:r>
              <w:t xml:space="preserve">nfl ~ uniform(1,Nfl) where </w:t>
            </w:r>
          </w:p>
          <w:p>
            <w:pPr>
              <w:spacing w:before="120" w:after="120"/>
              <w:textAlignment w:val="center"/>
            </w:pPr>
            <w:r>
              <w:t>Nfl ~ uniform(4,8)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Antenna Element Gain</w:t>
            </w:r>
          </w:p>
        </w:tc>
        <w:tc>
          <w:tcPr>
            <w:tcW w:w="2635" w:type="dxa"/>
          </w:tcPr>
          <w:p>
            <w:pPr>
              <w:spacing w:before="120" w:after="120"/>
              <w:textAlignment w:val="center"/>
              <w:rPr>
                <w:color w:val="000000"/>
                <w:sz w:val="20"/>
              </w:rPr>
            </w:pPr>
            <w:r>
              <w:rPr>
                <w:color w:val="000000"/>
                <w:kern w:val="0"/>
                <w:sz w:val="20"/>
              </w:rPr>
              <w:t>5dBi for BS and 0 dBi for UE</w:t>
            </w:r>
          </w:p>
        </w:tc>
        <w:tc>
          <w:tcPr>
            <w:tcW w:w="5332" w:type="dxa"/>
            <w:gridSpan w:val="2"/>
          </w:tcPr>
          <w:p>
            <w:pPr>
              <w:spacing w:before="120" w:after="120"/>
              <w:textAlignment w:val="center"/>
              <w:rPr>
                <w:color w:val="000000"/>
                <w:kern w:val="0"/>
                <w:sz w:val="20"/>
              </w:rPr>
            </w:pPr>
            <w:r>
              <w:rPr>
                <w:color w:val="000000"/>
                <w:kern w:val="0"/>
                <w:sz w:val="20"/>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Receiver Noise Figure</w:t>
            </w:r>
          </w:p>
        </w:tc>
        <w:tc>
          <w:tcPr>
            <w:tcW w:w="7967" w:type="dxa"/>
            <w:gridSpan w:val="3"/>
          </w:tcPr>
          <w:p>
            <w:pPr>
              <w:spacing w:before="120" w:after="120"/>
              <w:textAlignment w:val="center"/>
              <w:rPr>
                <w:color w:val="000000"/>
                <w:kern w:val="0"/>
                <w:sz w:val="20"/>
              </w:rPr>
            </w:pPr>
            <w:r>
              <w:rPr>
                <w:color w:val="000000"/>
                <w:kern w:val="0"/>
                <w:sz w:val="20"/>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154" w:type="dxa"/>
          </w:tcPr>
          <w:p>
            <w:pPr>
              <w:spacing w:before="120" w:after="120"/>
              <w:jc w:val="left"/>
              <w:textAlignment w:val="center"/>
              <w:rPr>
                <w:color w:val="000000"/>
                <w:sz w:val="20"/>
              </w:rPr>
            </w:pPr>
            <w:r>
              <w:rPr>
                <w:color w:val="000000"/>
                <w:kern w:val="0"/>
                <w:sz w:val="20"/>
              </w:rPr>
              <w:t>UE distribution</w:t>
            </w:r>
          </w:p>
        </w:tc>
        <w:tc>
          <w:tcPr>
            <w:tcW w:w="2635" w:type="dxa"/>
          </w:tcPr>
          <w:p>
            <w:pPr>
              <w:spacing w:before="120" w:after="120"/>
              <w:jc w:val="left"/>
              <w:textAlignment w:val="center"/>
              <w:rPr>
                <w:color w:val="000000"/>
                <w:sz w:val="20"/>
              </w:rPr>
            </w:pPr>
            <w:r>
              <w:rPr>
                <w:color w:val="000000"/>
                <w:kern w:val="0"/>
                <w:sz w:val="20"/>
              </w:rPr>
              <w:t>100% of users are indoor</w:t>
            </w:r>
          </w:p>
          <w:p>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pPr>
              <w:spacing w:before="120" w:after="120"/>
              <w:jc w:val="left"/>
              <w:textAlignment w:val="center"/>
              <w:rPr>
                <w:color w:val="000000"/>
                <w:sz w:val="20"/>
              </w:rPr>
            </w:pPr>
            <w:r>
              <w:rPr>
                <w:color w:val="000000"/>
                <w:kern w:val="0"/>
                <w:sz w:val="20"/>
              </w:rPr>
              <w:t>80% of users are indoor,20%of users are outdoor;</w:t>
            </w:r>
          </w:p>
          <w:p>
            <w:pPr>
              <w:spacing w:before="120" w:after="120"/>
              <w:jc w:val="left"/>
              <w:textAlignment w:val="center"/>
              <w:rPr>
                <w:color w:val="000000"/>
                <w:kern w:val="0"/>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Number of UEs per cell</w:t>
            </w:r>
          </w:p>
        </w:tc>
        <w:tc>
          <w:tcPr>
            <w:tcW w:w="7967" w:type="dxa"/>
            <w:gridSpan w:val="3"/>
          </w:tcPr>
          <w:p>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Scheduling Algorithm</w:t>
            </w:r>
          </w:p>
        </w:tc>
        <w:tc>
          <w:tcPr>
            <w:tcW w:w="7967" w:type="dxa"/>
            <w:gridSpan w:val="3"/>
          </w:tcPr>
          <w:p>
            <w:pPr>
              <w:spacing w:before="120" w:after="120"/>
              <w:textAlignment w:val="center"/>
              <w:rPr>
                <w:color w:val="000000"/>
                <w:kern w:val="0"/>
                <w:sz w:val="20"/>
              </w:rPr>
            </w:pPr>
            <w:r>
              <w:rPr>
                <w:rFonts w:hint="eastAsia"/>
                <w:color w:val="000000"/>
                <w:kern w:val="0"/>
                <w:sz w:val="20"/>
              </w:rPr>
              <w:t>S</w:t>
            </w:r>
            <w:r>
              <w:rPr>
                <w:color w:val="000000"/>
                <w:kern w:val="0"/>
                <w:sz w:val="20"/>
              </w:rPr>
              <w:t>U-MIMO+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HARQ/repetition</w:t>
            </w:r>
          </w:p>
        </w:tc>
        <w:tc>
          <w:tcPr>
            <w:tcW w:w="7967" w:type="dxa"/>
            <w:gridSpan w:val="3"/>
          </w:tcPr>
          <w:p>
            <w:pPr>
              <w:spacing w:before="120" w:after="120"/>
              <w:jc w:val="left"/>
              <w:textAlignment w:val="center"/>
              <w:rPr>
                <w:color w:val="000000"/>
                <w:kern w:val="0"/>
                <w:sz w:val="20"/>
              </w:rPr>
            </w:pPr>
            <w:r>
              <w:rPr>
                <w:color w:val="000000"/>
                <w:kern w:val="0"/>
                <w:sz w:val="20"/>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Channel estimation</w:t>
            </w:r>
          </w:p>
        </w:tc>
        <w:tc>
          <w:tcPr>
            <w:tcW w:w="7967" w:type="dxa"/>
            <w:gridSpan w:val="3"/>
          </w:tcPr>
          <w:p>
            <w:pPr>
              <w:spacing w:before="120" w:after="120"/>
              <w:jc w:val="left"/>
              <w:textAlignment w:val="center"/>
              <w:rPr>
                <w:color w:val="000000"/>
                <w:kern w:val="0"/>
                <w:sz w:val="20"/>
              </w:rPr>
            </w:pPr>
            <w:r>
              <w:rPr>
                <w:color w:val="000000"/>
                <w:kern w:val="0"/>
                <w:sz w:val="20"/>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spacing w:before="120" w:after="120"/>
              <w:rPr>
                <w:color w:val="000000"/>
                <w:kern w:val="0"/>
                <w:sz w:val="20"/>
              </w:rPr>
            </w:pPr>
            <w:r>
              <w:rPr>
                <w:rFonts w:eastAsia="Arial"/>
                <w:sz w:val="20"/>
              </w:rPr>
              <w:t>Target BLER</w:t>
            </w:r>
          </w:p>
        </w:tc>
        <w:tc>
          <w:tcPr>
            <w:tcW w:w="7967" w:type="dxa"/>
            <w:gridSpan w:val="3"/>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9"/>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PHY processing delay</w:t>
            </w:r>
          </w:p>
        </w:tc>
        <w:tc>
          <w:tcPr>
            <w:tcW w:w="7967" w:type="dxa"/>
            <w:gridSpan w:val="3"/>
            <w:vAlign w:val="center"/>
          </w:tcPr>
          <w:p>
            <w:pPr>
              <w:pStyle w:val="39"/>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9"/>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PDCCH overhead</w:t>
            </w:r>
          </w:p>
        </w:tc>
        <w:tc>
          <w:tcPr>
            <w:tcW w:w="7967" w:type="dxa"/>
            <w:gridSpan w:val="3"/>
            <w:vAlign w:val="center"/>
          </w:tcPr>
          <w:p>
            <w:pPr>
              <w:pStyle w:val="39"/>
              <w:spacing w:before="120" w:after="120"/>
              <w:jc w:val="left"/>
              <w:rPr>
                <w:rFonts w:ascii="Times New Roman" w:hAnsi="Times New Roman" w:eastAsia="宋体" w:cs="Times New Roman"/>
                <w:color w:val="000000"/>
                <w:kern w:val="0"/>
                <w:sz w:val="20"/>
                <w:szCs w:val="20"/>
                <w:lang w:eastAsia="zh-CN"/>
              </w:rPr>
            </w:pPr>
            <w:r>
              <w:rPr>
                <w:rFonts w:ascii="Times New Roman" w:hAnsi="Times New Roman" w:eastAsia="宋体" w:cs="Times New Roman"/>
                <w:color w:val="000000"/>
                <w:kern w:val="0"/>
                <w:sz w:val="20"/>
                <w:szCs w:val="20"/>
                <w:lang w:eastAsia="zh-CN"/>
              </w:rPr>
              <w:t>1/7(2symbols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9"/>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DMRS overhead</w:t>
            </w:r>
          </w:p>
        </w:tc>
        <w:tc>
          <w:tcPr>
            <w:tcW w:w="7967" w:type="dxa"/>
            <w:gridSpan w:val="3"/>
            <w:vAlign w:val="center"/>
          </w:tcPr>
          <w:p>
            <w:pPr>
              <w:pStyle w:val="39"/>
              <w:spacing w:before="120" w:after="120"/>
              <w:jc w:val="left"/>
              <w:rPr>
                <w:rFonts w:ascii="Times New Roman" w:hAnsi="Times New Roman" w:eastAsia="宋体" w:cs="Times New Roman"/>
                <w:color w:val="000000"/>
                <w:kern w:val="0"/>
                <w:sz w:val="20"/>
                <w:lang w:eastAsia="zh-CN"/>
              </w:rPr>
            </w:pPr>
            <w:r>
              <w:rPr>
                <w:rFonts w:ascii="Times New Roman" w:hAnsi="Times New Roman" w:eastAsia="宋体" w:cs="Times New Roman"/>
                <w:color w:val="000000"/>
                <w:kern w:val="0"/>
                <w:sz w:val="20"/>
                <w:lang w:eastAsia="zh-CN"/>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154" w:type="dxa"/>
          </w:tcPr>
          <w:p>
            <w:pPr>
              <w:spacing w:before="120" w:after="120"/>
              <w:jc w:val="left"/>
              <w:textAlignment w:val="center"/>
              <w:rPr>
                <w:color w:val="000000"/>
                <w:sz w:val="20"/>
              </w:rPr>
            </w:pPr>
            <w:r>
              <w:rPr>
                <w:color w:val="000000"/>
                <w:kern w:val="0"/>
                <w:sz w:val="20"/>
              </w:rPr>
              <w:t>BS receiver</w:t>
            </w:r>
          </w:p>
        </w:tc>
        <w:tc>
          <w:tcPr>
            <w:tcW w:w="7967" w:type="dxa"/>
            <w:gridSpan w:val="3"/>
          </w:tcPr>
          <w:p>
            <w:pPr>
              <w:spacing w:before="120" w:after="120"/>
              <w:jc w:val="left"/>
              <w:textAlignment w:val="center"/>
              <w:rPr>
                <w:color w:val="000000"/>
                <w:kern w:val="0"/>
                <w:sz w:val="20"/>
              </w:rPr>
            </w:pPr>
            <w:r>
              <w:rPr>
                <w:color w:val="000000"/>
                <w:kern w:val="0"/>
                <w:sz w:val="20"/>
              </w:rPr>
              <w:t>MMSE-IRC</w:t>
            </w:r>
          </w:p>
        </w:tc>
      </w:tr>
      <w:bookmarkEnd w:id="25"/>
    </w:tbl>
    <w:p>
      <w:pPr>
        <w:pStyle w:val="6"/>
        <w:spacing w:before="120" w:after="120" w:line="276" w:lineRule="auto"/>
        <w:jc w:val="center"/>
        <w:rPr>
          <w:rFonts w:ascii="Times New Roman" w:hAnsi="Times New Roman"/>
        </w:rPr>
      </w:pPr>
      <w:bookmarkStart w:id="26" w:name="_Ref9233"/>
      <w:bookmarkStart w:id="27" w:name="OLE_LINK18"/>
      <w:bookmarkStart w:id="28" w:name="OLE_LINK19"/>
    </w:p>
    <w:p>
      <w:pPr>
        <w:pStyle w:val="6"/>
        <w:spacing w:before="120" w:after="120" w:line="276" w:lineRule="auto"/>
        <w:jc w:val="center"/>
        <w:rPr>
          <w:rFonts w:ascii="Times New Roman" w:hAnsi="Times New Roman" w:eastAsia="宋体"/>
        </w:rPr>
      </w:pPr>
      <w:r>
        <w:rPr>
          <w:rFonts w:ascii="Times New Roman" w:hAnsi="Times New Roman"/>
        </w:rPr>
        <w:t xml:space="preserve">Table </w:t>
      </w:r>
      <w:r>
        <w:rPr>
          <w:rFonts w:hint="eastAsia" w:ascii="Times New Roman" w:hAnsi="Times New Roman"/>
        </w:rPr>
        <w:t>A.</w:t>
      </w:r>
      <w:bookmarkEnd w:id="26"/>
      <w:r>
        <w:rPr>
          <w:rFonts w:hint="eastAsia" w:ascii="Times New Roman" w:hAnsi="Times New Roman"/>
        </w:rPr>
        <w:t>2</w:t>
      </w:r>
      <w:r>
        <w:rPr>
          <w:rFonts w:ascii="Times New Roman" w:hAnsi="Times New Roman" w:eastAsia="宋体"/>
        </w:rPr>
        <w:t xml:space="preserve"> Simulation assumption for FR1 UL</w:t>
      </w:r>
    </w:p>
    <w:tbl>
      <w:tblPr>
        <w:tblStyle w:val="17"/>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4000"/>
        <w:gridCol w:w="3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pPr>
              <w:spacing w:before="120" w:after="120"/>
              <w:jc w:val="center"/>
              <w:rPr>
                <w:rFonts w:eastAsiaTheme="minorEastAsia"/>
                <w:b/>
                <w:sz w:val="20"/>
              </w:rPr>
            </w:pPr>
            <w:r>
              <w:rPr>
                <w:rFonts w:eastAsiaTheme="minorEastAsia"/>
                <w:b/>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Scenarios</w:t>
            </w:r>
          </w:p>
        </w:tc>
        <w:tc>
          <w:tcPr>
            <w:tcW w:w="4000" w:type="dxa"/>
            <w:shd w:val="clear" w:color="auto" w:fill="auto"/>
            <w:vAlign w:val="center"/>
          </w:tcPr>
          <w:p>
            <w:pPr>
              <w:spacing w:before="120" w:after="120"/>
              <w:rPr>
                <w:sz w:val="20"/>
              </w:rPr>
            </w:pPr>
            <w:r>
              <w:rPr>
                <w:rFonts w:eastAsiaTheme="minorEastAsia"/>
                <w:sz w:val="20"/>
              </w:rPr>
              <w:t>Scenario-1: Indoor Hotspot</w:t>
            </w:r>
            <w:r>
              <w:rPr>
                <w:sz w:val="20"/>
              </w:rPr>
              <w:t xml:space="preserve"> </w:t>
            </w:r>
          </w:p>
          <w:p>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Scenario-2: 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pPr>
              <w:spacing w:before="120" w:after="120"/>
              <w:rPr>
                <w:sz w:val="20"/>
              </w:rPr>
            </w:pPr>
            <w:r>
              <w:rPr>
                <w:sz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pPr>
              <w:spacing w:before="120" w:after="120"/>
              <w:rPr>
                <w:sz w:val="20"/>
              </w:rPr>
            </w:pPr>
            <w:r>
              <w:rPr>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BS Antennas </w:t>
            </w:r>
          </w:p>
          <w:p>
            <w:pPr>
              <w:spacing w:before="120" w:after="120"/>
              <w:rPr>
                <w:rFonts w:eastAsiaTheme="minorEastAsia"/>
                <w:sz w:val="20"/>
              </w:rPr>
            </w:pPr>
            <w:r>
              <w:rPr>
                <w:rFonts w:eastAsiaTheme="minorEastAsia"/>
                <w:sz w:val="20"/>
              </w:rPr>
              <w:t>(M,N,P,Mg,Ng;Mp,Np)</w:t>
            </w:r>
          </w:p>
        </w:tc>
        <w:tc>
          <w:tcPr>
            <w:tcW w:w="4000" w:type="dxa"/>
            <w:shd w:val="clear" w:color="auto" w:fill="auto"/>
            <w:vAlign w:val="center"/>
          </w:tcPr>
          <w:p>
            <w:pPr>
              <w:spacing w:before="120" w:after="120"/>
              <w:rPr>
                <w:rFonts w:eastAsiaTheme="minorEastAsia"/>
                <w:sz w:val="20"/>
              </w:rPr>
            </w:pPr>
            <w:r>
              <w:rPr>
                <w:rFonts w:eastAsiaTheme="minorEastAsia"/>
                <w:sz w:val="20"/>
              </w:rPr>
              <w:t>For 32R: (4,4,2,1,1;4,4)</w:t>
            </w:r>
          </w:p>
          <w:p>
            <w:pPr>
              <w:spacing w:before="120" w:after="120"/>
              <w:rPr>
                <w:rFonts w:eastAsiaTheme="minorEastAsia"/>
                <w:sz w:val="20"/>
              </w:rPr>
            </w:pPr>
            <w:r>
              <w:rPr>
                <w:sz w:val="20"/>
              </w:rPr>
              <w:t>(dH,dV) = (0.5, 0.5)λ</w:t>
            </w:r>
          </w:p>
        </w:tc>
        <w:tc>
          <w:tcPr>
            <w:tcW w:w="3763" w:type="dxa"/>
            <w:shd w:val="clear" w:color="auto" w:fill="auto"/>
            <w:vAlign w:val="center"/>
          </w:tcPr>
          <w:p>
            <w:pPr>
              <w:spacing w:before="120" w:after="120"/>
              <w:rPr>
                <w:color w:val="000000"/>
                <w:kern w:val="0"/>
                <w:sz w:val="20"/>
              </w:rPr>
            </w:pPr>
            <w:r>
              <w:rPr>
                <w:rFonts w:hint="eastAsia"/>
                <w:sz w:val="20"/>
              </w:rPr>
              <w:t>For 64R:</w:t>
            </w:r>
            <w:r>
              <w:rPr>
                <w:color w:val="000000"/>
                <w:kern w:val="0"/>
                <w:sz w:val="20"/>
              </w:rPr>
              <w:t xml:space="preserve"> (8,8, 2, 1, 1; 4, 8)</w:t>
            </w:r>
          </w:p>
          <w:p>
            <w:pPr>
              <w:spacing w:before="120" w:after="120"/>
              <w:rPr>
                <w:sz w:val="20"/>
              </w:rPr>
            </w:pPr>
            <w:r>
              <w:rPr>
                <w:sz w:val="20"/>
              </w:rPr>
              <w:t xml:space="preserve">(dH,dV) </w:t>
            </w:r>
            <w:r>
              <w:rPr>
                <w:rFonts w:hint="eastAsia"/>
                <w:sz w:val="20"/>
              </w:rPr>
              <w:t xml:space="preserve"> </w:t>
            </w:r>
            <w:r>
              <w:rPr>
                <w:rStyle w:val="32"/>
              </w:rPr>
              <w:t>= (0.5λ, 0.5λ)</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UE Antennas </w:t>
            </w:r>
          </w:p>
          <w:p>
            <w:pPr>
              <w:spacing w:before="120" w:after="120"/>
              <w:rPr>
                <w:rFonts w:eastAsiaTheme="minorEastAsia"/>
                <w:sz w:val="20"/>
              </w:rPr>
            </w:pPr>
            <w:r>
              <w:rPr>
                <w:rFonts w:eastAsiaTheme="minorEastAsia"/>
                <w:sz w:val="20"/>
              </w:rPr>
              <w:t>(M,N,P,Mg,Ng;Mp,Np)</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For 2T: (1,1,2,1,1;1,1)</w:t>
            </w:r>
          </w:p>
          <w:p>
            <w:pPr>
              <w:spacing w:before="120" w:after="120"/>
              <w:rPr>
                <w:rFonts w:eastAsiaTheme="minorEastAsia"/>
                <w:sz w:val="20"/>
              </w:rPr>
            </w:pPr>
            <w:r>
              <w:rPr>
                <w:rFonts w:eastAsiaTheme="minorEastAsia"/>
                <w:sz w:val="20"/>
              </w:rPr>
              <w:t>(dH, dV)=( 0.5, N/A)λ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Ceiling-mount pattern, 5 dBi</w:t>
            </w:r>
          </w:p>
        </w:tc>
        <w:tc>
          <w:tcPr>
            <w:tcW w:w="3763" w:type="dxa"/>
            <w:shd w:val="clear" w:color="auto" w:fill="auto"/>
            <w:vAlign w:val="center"/>
          </w:tcPr>
          <w:p>
            <w:pPr>
              <w:spacing w:before="120" w:after="120"/>
              <w:rPr>
                <w:rFonts w:eastAsiaTheme="minorEastAsia"/>
                <w:sz w:val="20"/>
              </w:rPr>
            </w:pPr>
            <w:r>
              <w:rPr>
                <w:rFonts w:eastAsiaTheme="minorEastAsia"/>
                <w:sz w:val="20"/>
              </w:rPr>
              <w:t xml:space="preserve">Ceiling-mount pattern, </w:t>
            </w:r>
            <w:r>
              <w:rPr>
                <w:rFonts w:hint="eastAsia" w:eastAsiaTheme="minorEastAsia"/>
                <w:sz w:val="20"/>
              </w:rPr>
              <w:t xml:space="preserve">8 </w:t>
            </w:r>
            <w:r>
              <w:rPr>
                <w:rFonts w:eastAsiaTheme="minorEastAsia"/>
                <w:sz w:val="20"/>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Omnidirectional, 0 dBi</w:t>
            </w:r>
          </w:p>
        </w:tc>
        <w:tc>
          <w:tcPr>
            <w:tcW w:w="3763" w:type="dxa"/>
            <w:shd w:val="clear" w:color="auto" w:fill="auto"/>
            <w:vAlign w:val="center"/>
          </w:tcPr>
          <w:p>
            <w:pPr>
              <w:spacing w:before="120" w:after="120"/>
              <w:rPr>
                <w:rFonts w:eastAsiaTheme="minorEastAsia"/>
                <w:sz w:val="20"/>
              </w:rPr>
            </w:pPr>
            <w:r>
              <w:rPr>
                <w:rFonts w:eastAsiaTheme="minorEastAsia"/>
                <w:sz w:val="20"/>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 xml:space="preserve">23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Power control</w:t>
            </w:r>
          </w:p>
        </w:tc>
        <w:tc>
          <w:tcPr>
            <w:tcW w:w="7763" w:type="dxa"/>
            <w:gridSpan w:val="2"/>
            <w:shd w:val="clear" w:color="auto" w:fill="auto"/>
            <w:vAlign w:val="center"/>
          </w:tcPr>
          <w:p>
            <w:pPr>
              <w:spacing w:before="120" w:after="120"/>
              <w:rPr>
                <w:rFonts w:eastAsiaTheme="minorEastAsia"/>
                <w:sz w:val="20"/>
              </w:rPr>
            </w:pPr>
            <w:bookmarkStart w:id="29" w:name="OLE_LINK4"/>
            <w:bookmarkStart w:id="30" w:name="OLE_LINK6"/>
            <w:r>
              <w:rPr>
                <w:rFonts w:eastAsiaTheme="minorEastAsia"/>
                <w:sz w:val="20"/>
              </w:rPr>
              <w:t>P0 = -80 dBm, alpha = 0.8</w:t>
            </w:r>
            <w:bookmarkEnd w:id="29"/>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pPr>
              <w:spacing w:before="120" w:after="120"/>
              <w:rPr>
                <w:color w:val="000000"/>
                <w:kern w:val="0"/>
                <w:sz w:val="20"/>
              </w:rPr>
            </w:pPr>
            <w:r>
              <w:rPr>
                <w:color w:val="000000"/>
                <w:kern w:val="0"/>
                <w:sz w:val="20"/>
              </w:rPr>
              <w:t>5dB for BS and 9dB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MU-MIMO+PF</w:t>
            </w:r>
            <w:r>
              <w:rPr>
                <w:rFonts w:hint="eastAsia" w:eastAsiaTheme="minorEastAsia"/>
                <w:sz w:val="20"/>
              </w:rPr>
              <w:t xml:space="preserve"> / SU-MIMO 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111" w:type="dxa"/>
            <w:shd w:val="clear" w:color="auto" w:fill="auto"/>
            <w:vAlign w:val="center"/>
          </w:tcPr>
          <w:p>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pPr>
              <w:spacing w:before="120" w:after="120"/>
              <w:rPr>
                <w:rFonts w:eastAsiaTheme="minorEastAsia"/>
                <w:sz w:val="20"/>
              </w:rPr>
            </w:pPr>
            <w:r>
              <w:rPr>
                <w:rFonts w:eastAsiaTheme="minorEastAsia"/>
                <w:sz w:val="20"/>
              </w:rPr>
              <w:t>100% indoor</w:t>
            </w:r>
          </w:p>
        </w:tc>
        <w:tc>
          <w:tcPr>
            <w:tcW w:w="3763" w:type="dxa"/>
            <w:shd w:val="clear" w:color="auto" w:fill="auto"/>
            <w:vAlign w:val="center"/>
          </w:tcPr>
          <w:p>
            <w:pPr>
              <w:spacing w:before="120" w:after="120"/>
              <w:jc w:val="left"/>
              <w:textAlignment w:val="center"/>
              <w:rPr>
                <w:color w:val="000000"/>
                <w:sz w:val="20"/>
              </w:rPr>
            </w:pPr>
            <w:r>
              <w:rPr>
                <w:color w:val="000000"/>
                <w:kern w:val="0"/>
                <w:sz w:val="20"/>
              </w:rPr>
              <w:t>80% of users are indoor,20%of users are outdoor;</w:t>
            </w:r>
          </w:p>
          <w:p>
            <w:pPr>
              <w:spacing w:before="120" w:after="120"/>
              <w:rPr>
                <w:rFonts w:eastAsiaTheme="minorEastAsia"/>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Down-tilt</w:t>
            </w:r>
          </w:p>
        </w:tc>
        <w:tc>
          <w:tcPr>
            <w:tcW w:w="4000" w:type="dxa"/>
            <w:shd w:val="clear" w:color="auto" w:fill="auto"/>
            <w:vAlign w:val="center"/>
          </w:tcPr>
          <w:p>
            <w:pPr>
              <w:spacing w:before="120" w:after="120"/>
              <w:rPr>
                <w:rFonts w:eastAsiaTheme="minorEastAsia"/>
                <w:sz w:val="20"/>
              </w:rPr>
            </w:pPr>
            <w:r>
              <w:rPr>
                <w:rFonts w:eastAsiaTheme="minorEastAsia"/>
                <w:sz w:val="20"/>
              </w:rPr>
              <w:t>90 degrees</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rFonts w:eastAsiaTheme="minorEastAsia"/>
                <w:sz w:val="20"/>
              </w:rPr>
            </w:pPr>
            <w:r>
              <w:rPr>
                <w:color w:val="000000"/>
                <w:sz w:val="20"/>
              </w:rPr>
              <w:t>BS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UE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Channel estimation</w:t>
            </w:r>
          </w:p>
        </w:tc>
        <w:tc>
          <w:tcPr>
            <w:tcW w:w="7763" w:type="dxa"/>
            <w:gridSpan w:val="2"/>
            <w:shd w:val="clear" w:color="auto" w:fill="auto"/>
            <w:vAlign w:val="center"/>
          </w:tcPr>
          <w:p>
            <w:pPr>
              <w:spacing w:before="120" w:after="120"/>
              <w:rPr>
                <w:color w:val="000000"/>
                <w:sz w:val="20"/>
              </w:rPr>
            </w:pPr>
            <w:r>
              <w:rPr>
                <w:color w:val="000000"/>
                <w:sz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Arial"/>
                <w:sz w:val="20"/>
              </w:rPr>
              <w:t>Target BLER</w:t>
            </w:r>
          </w:p>
        </w:tc>
        <w:tc>
          <w:tcPr>
            <w:tcW w:w="7763" w:type="dxa"/>
            <w:gridSpan w:val="2"/>
            <w:shd w:val="clear" w:color="auto" w:fill="auto"/>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Theme="minorEastAsia"/>
                <w:sz w:val="20"/>
              </w:rPr>
              <w:t>UE speed</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jc w:val="left"/>
              <w:textAlignment w:val="center"/>
              <w:rPr>
                <w:rFonts w:eastAsiaTheme="minorEastAsia"/>
                <w:sz w:val="20"/>
              </w:rPr>
            </w:pPr>
            <w:r>
              <w:rPr>
                <w:color w:val="000000"/>
                <w:kern w:val="0"/>
                <w:sz w:val="20"/>
              </w:rPr>
              <w:t>HARQ/repetition</w:t>
            </w:r>
          </w:p>
        </w:tc>
        <w:tc>
          <w:tcPr>
            <w:tcW w:w="7763" w:type="dxa"/>
            <w:gridSpan w:val="2"/>
            <w:shd w:val="clear" w:color="auto" w:fill="auto"/>
          </w:tcPr>
          <w:p>
            <w:pPr>
              <w:spacing w:before="120" w:after="120"/>
              <w:jc w:val="left"/>
              <w:textAlignment w:val="center"/>
              <w:rPr>
                <w:color w:val="000000"/>
                <w:kern w:val="0"/>
                <w:sz w:val="20"/>
              </w:rPr>
            </w:pPr>
            <w:r>
              <w:rPr>
                <w:color w:val="000000"/>
                <w:kern w:val="0"/>
                <w:sz w:val="20"/>
              </w:rPr>
              <w:t>HARQ retransmission,Maximum number of retransmissions is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9"/>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rPr>
              <w:t>PHY processing delay</w:t>
            </w:r>
          </w:p>
        </w:tc>
        <w:tc>
          <w:tcPr>
            <w:tcW w:w="7763" w:type="dxa"/>
            <w:gridSpan w:val="2"/>
            <w:shd w:val="clear" w:color="auto" w:fill="auto"/>
            <w:vAlign w:val="center"/>
          </w:tcPr>
          <w:p>
            <w:pPr>
              <w:pStyle w:val="39"/>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 N2=12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9"/>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lang w:eastAsia="zh-CN"/>
              </w:rPr>
              <w:t>DMRE</w:t>
            </w:r>
            <w:r>
              <w:rPr>
                <w:rFonts w:ascii="Times New Roman" w:hAnsi="Times New Roman" w:eastAsia="宋体" w:cs="Times New Roman"/>
                <w:sz w:val="20"/>
                <w:szCs w:val="20"/>
              </w:rPr>
              <w:t xml:space="preserve"> overhead</w:t>
            </w:r>
          </w:p>
        </w:tc>
        <w:tc>
          <w:tcPr>
            <w:tcW w:w="7763" w:type="dxa"/>
            <w:gridSpan w:val="2"/>
            <w:shd w:val="clear" w:color="auto" w:fill="auto"/>
            <w:vAlign w:val="center"/>
          </w:tcPr>
          <w:p>
            <w:pPr>
              <w:pStyle w:val="39"/>
              <w:spacing w:before="120" w:after="120"/>
              <w:jc w:val="left"/>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4RE</w:t>
            </w:r>
          </w:p>
        </w:tc>
      </w:tr>
      <w:bookmarkEnd w:id="27"/>
      <w:bookmarkEnd w:id="28"/>
    </w:tbl>
    <w:p>
      <w:pPr>
        <w:spacing w:before="120" w:after="120"/>
        <w:jc w:val="left"/>
      </w:pPr>
    </w:p>
    <w:p>
      <w:pPr>
        <w:pStyle w:val="3"/>
        <w:numPr>
          <w:ilvl w:val="0"/>
          <w:numId w:val="0"/>
        </w:numPr>
        <w:spacing w:before="120" w:after="120"/>
        <w:ind w:right="210"/>
        <w:rPr>
          <w:rFonts w:eastAsia="宋体"/>
        </w:rPr>
      </w:pPr>
      <w:r>
        <w:rPr>
          <w:rFonts w:hint="eastAsia" w:eastAsia="宋体"/>
        </w:rPr>
        <w:t>B P</w:t>
      </w:r>
      <w:r>
        <w:rPr>
          <w:rFonts w:eastAsia="宋体"/>
        </w:rPr>
        <w:t>ower model</w:t>
      </w:r>
    </w:p>
    <w:p>
      <w:pPr>
        <w:spacing w:before="120" w:after="120"/>
        <w:jc w:val="center"/>
      </w:pPr>
      <w:r>
        <w:t>Table B</w:t>
      </w:r>
      <w:r>
        <w:rPr>
          <w:rFonts w:hint="eastAsia"/>
        </w:rPr>
        <w:t>.</w:t>
      </w:r>
      <w:r>
        <w:t>1 Power model for DL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Power state</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Relative Power (1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PDCCH-only</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PDCCH+PDSCH</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Micro sleep</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Light sleep</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Deep sleep</w:t>
            </w:r>
          </w:p>
        </w:tc>
        <w:tc>
          <w:tcPr>
            <w:tcW w:w="2469" w:type="dxa"/>
            <w:tcBorders>
              <w:top w:val="single" w:color="auto" w:sz="4" w:space="0"/>
              <w:left w:val="single" w:color="auto" w:sz="4" w:space="0"/>
              <w:bottom w:val="single" w:color="auto" w:sz="4" w:space="0"/>
              <w:right w:val="single" w:color="auto" w:sz="4" w:space="0"/>
            </w:tcBorders>
          </w:tcPr>
          <w:p>
            <w:pPr>
              <w:spacing w:beforeLines="0" w:after="0" w:afterLines="0"/>
              <w:jc w:val="center"/>
              <w:rPr>
                <w:sz w:val="18"/>
                <w:szCs w:val="18"/>
              </w:rPr>
            </w:pPr>
            <w:r>
              <w:rPr>
                <w:sz w:val="18"/>
                <w:szCs w:val="18"/>
              </w:rPr>
              <w:t>1</w:t>
            </w:r>
          </w:p>
        </w:tc>
      </w:tr>
    </w:tbl>
    <w:p>
      <w:pPr>
        <w:spacing w:before="120" w:after="120"/>
        <w:jc w:val="center"/>
      </w:pPr>
    </w:p>
    <w:p>
      <w:pPr>
        <w:spacing w:before="120" w:after="120"/>
        <w:jc w:val="center"/>
      </w:pPr>
      <w:r>
        <w:t>Table B</w:t>
      </w:r>
      <w:r>
        <w:rPr>
          <w:rFonts w:hint="eastAsia"/>
        </w:rPr>
        <w:t>.</w:t>
      </w:r>
      <w:r>
        <w:t>2 Power model for UL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657"/>
        <w:gridCol w:w="747"/>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Power state</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Relative Power (1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uto"/>
              <w:jc w:val="left"/>
              <w:rPr>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0dBm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23dBm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Other Tx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UL(long PUCCH or PUSCH)</w:t>
            </w: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250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700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Obtained by linear function or step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PDCCH+PUSCH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Sum(PDCCH-only,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PDCCH+PDSCH+PUSCH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Lines="0" w:after="0" w:afterLines="0"/>
              <w:jc w:val="center"/>
              <w:rPr>
                <w:sz w:val="18"/>
                <w:szCs w:val="18"/>
              </w:rPr>
            </w:pPr>
            <w:r>
              <w:rPr>
                <w:sz w:val="18"/>
                <w:szCs w:val="18"/>
              </w:rPr>
              <w:t>Sum(PDCCH+PDSCH, PUSCH)</w:t>
            </w:r>
          </w:p>
        </w:tc>
      </w:tr>
    </w:tbl>
    <w:p>
      <w:pPr>
        <w:spacing w:before="120" w:after="1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p>
      <w:pPr>
        <w:spacing w:before="120" w:after="120"/>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1"/>
                            <w:spacing w:before="120" w:after="12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pdsPRAAAAAgEAAA8AAAAA&#10;AAAAAQAgAAAAIgAAAGRycy9kb3ducmV2LnhtbFBLAQIUABQAAAAIAIdO4kB7dt7PGwIAABIEAAAO&#10;AAAAAAAAAAEAIAAAACABAABkcnMvZTJvRG9jLnhtbFBLBQYAAAAABgAGAFkBAACtBQAAAAA=&#10;">
              <v:fill on="f" focussize="0,0"/>
              <v:stroke on="f" weight="0.5pt"/>
              <v:imagedata o:title=""/>
              <o:lock v:ext="edit" aspectratio="f"/>
              <v:textbox inset="0mm,0mm,0mm,0mm" style="mso-fit-shape-to-text:t;">
                <w:txbxContent>
                  <w:p>
                    <w:pPr>
                      <w:pStyle w:val="11"/>
                      <w:spacing w:before="120" w:after="12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5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45E2666"/>
    <w:multiLevelType w:val="singleLevel"/>
    <w:tmpl w:val="B45E2666"/>
    <w:lvl w:ilvl="0" w:tentative="0">
      <w:start w:val="1"/>
      <w:numFmt w:val="bullet"/>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5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1F68A29"/>
    <w:multiLevelType w:val="singleLevel"/>
    <w:tmpl w:val="D1F68A29"/>
    <w:lvl w:ilvl="0" w:tentative="0">
      <w:start w:val="1"/>
      <w:numFmt w:val="lowerLetter"/>
      <w:suff w:val="space"/>
      <w:lvlText w:val="(%1)"/>
      <w:lvlJc w:val="left"/>
    </w:lvl>
  </w:abstractNum>
  <w:abstractNum w:abstractNumId="4">
    <w:nsid w:val="048B349B"/>
    <w:multiLevelType w:val="singleLevel"/>
    <w:tmpl w:val="048B349B"/>
    <w:lvl w:ilvl="0" w:tentative="0">
      <w:start w:val="1"/>
      <w:numFmt w:val="lowerLetter"/>
      <w:suff w:val="space"/>
      <w:lvlText w:val="(%1)"/>
      <w:lvlJc w:val="left"/>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EF40D0C"/>
    <w:multiLevelType w:val="singleLevel"/>
    <w:tmpl w:val="1EF40D0C"/>
    <w:lvl w:ilvl="0" w:tentative="0">
      <w:start w:val="1"/>
      <w:numFmt w:val="lowerLetter"/>
      <w:suff w:val="space"/>
      <w:lvlText w:val="(%1)"/>
      <w:lvlJc w:val="left"/>
    </w:lvl>
  </w:abstractNum>
  <w:abstractNum w:abstractNumId="7">
    <w:nsid w:val="251FF7DB"/>
    <w:multiLevelType w:val="singleLevel"/>
    <w:tmpl w:val="251FF7DB"/>
    <w:lvl w:ilvl="0" w:tentative="0">
      <w:start w:val="1"/>
      <w:numFmt w:val="bullet"/>
      <w:lvlText w:val="w"/>
      <w:lvlJc w:val="left"/>
      <w:pPr>
        <w:ind w:left="420" w:hanging="420"/>
      </w:pPr>
      <w:rPr>
        <w:rFonts w:hint="default" w:ascii="Wingdings" w:hAnsi="Wingdings" w:cs="Wingdings"/>
      </w:rPr>
    </w:lvl>
  </w:abstractNum>
  <w:abstractNum w:abstractNumId="8">
    <w:nsid w:val="283A946D"/>
    <w:multiLevelType w:val="singleLevel"/>
    <w:tmpl w:val="283A946D"/>
    <w:lvl w:ilvl="0" w:tentative="0">
      <w:start w:val="1"/>
      <w:numFmt w:val="bullet"/>
      <w:lvlText w:val="w"/>
      <w:lvlJc w:val="left"/>
      <w:pPr>
        <w:ind w:left="420" w:hanging="420"/>
      </w:pPr>
      <w:rPr>
        <w:rFonts w:hint="default" w:ascii="Wingdings" w:hAnsi="Wingdings" w:cs="Wingdings"/>
      </w:rPr>
    </w:lvl>
  </w:abstractNum>
  <w:abstractNum w:abstractNumId="9">
    <w:nsid w:val="39461CC6"/>
    <w:multiLevelType w:val="singleLevel"/>
    <w:tmpl w:val="39461CC6"/>
    <w:lvl w:ilvl="0" w:tentative="0">
      <w:start w:val="1"/>
      <w:numFmt w:val="lowerLetter"/>
      <w:suff w:val="space"/>
      <w:lvlText w:val="(%1)"/>
      <w:lvlJc w:val="left"/>
    </w:lvl>
  </w:abstractNum>
  <w:abstractNum w:abstractNumId="10">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11">
    <w:nsid w:val="55D91F51"/>
    <w:multiLevelType w:val="singleLevel"/>
    <w:tmpl w:val="55D91F51"/>
    <w:lvl w:ilvl="0" w:tentative="0">
      <w:start w:val="1"/>
      <w:numFmt w:val="lowerLetter"/>
      <w:suff w:val="space"/>
      <w:lvlText w:val="(%1)"/>
      <w:lvlJc w:val="left"/>
    </w:lvl>
  </w:abstractNum>
  <w:abstractNum w:abstractNumId="12">
    <w:nsid w:val="5D4E93BB"/>
    <w:multiLevelType w:val="singleLevel"/>
    <w:tmpl w:val="5D4E93BB"/>
    <w:lvl w:ilvl="0" w:tentative="0">
      <w:start w:val="1"/>
      <w:numFmt w:val="upperLetter"/>
      <w:suff w:val="space"/>
      <w:lvlText w:val="%1."/>
      <w:lvlJc w:val="left"/>
    </w:lvl>
  </w:abstractNum>
  <w:abstractNum w:abstractNumId="13">
    <w:nsid w:val="621C1210"/>
    <w:multiLevelType w:val="multilevel"/>
    <w:tmpl w:val="621C12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6F426182"/>
    <w:multiLevelType w:val="singleLevel"/>
    <w:tmpl w:val="6F426182"/>
    <w:lvl w:ilvl="0" w:tentative="0">
      <w:start w:val="1"/>
      <w:numFmt w:val="lowerLetter"/>
      <w:suff w:val="space"/>
      <w:lvlText w:val="(%1)"/>
      <w:lvlJc w:val="left"/>
    </w:lvl>
  </w:abstractNum>
  <w:num w:numId="1">
    <w:abstractNumId w:val="5"/>
  </w:num>
  <w:num w:numId="2">
    <w:abstractNumId w:val="10"/>
  </w:num>
  <w:num w:numId="3">
    <w:abstractNumId w:val="0"/>
  </w:num>
  <w:num w:numId="4">
    <w:abstractNumId w:val="2"/>
  </w:num>
  <w:num w:numId="5">
    <w:abstractNumId w:val="1"/>
  </w:num>
  <w:num w:numId="6">
    <w:abstractNumId w:val="8"/>
  </w:num>
  <w:num w:numId="7">
    <w:abstractNumId w:val="7"/>
  </w:num>
  <w:num w:numId="8">
    <w:abstractNumId w:val="13"/>
  </w:num>
  <w:num w:numId="9">
    <w:abstractNumId w:val="6"/>
  </w:num>
  <w:num w:numId="10">
    <w:abstractNumId w:val="4"/>
  </w:num>
  <w:num w:numId="11">
    <w:abstractNumId w:val="3"/>
  </w:num>
  <w:num w:numId="12">
    <w:abstractNumId w:val="12"/>
  </w:num>
  <w:num w:numId="13">
    <w:abstractNumId w:val="11"/>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1F4E"/>
    <w:rsid w:val="000529AC"/>
    <w:rsid w:val="0005798B"/>
    <w:rsid w:val="0006091C"/>
    <w:rsid w:val="00072FB0"/>
    <w:rsid w:val="000A15BE"/>
    <w:rsid w:val="000A5C3B"/>
    <w:rsid w:val="000C1A96"/>
    <w:rsid w:val="000D0462"/>
    <w:rsid w:val="000D526A"/>
    <w:rsid w:val="000E2433"/>
    <w:rsid w:val="000E772B"/>
    <w:rsid w:val="000F28CA"/>
    <w:rsid w:val="00103906"/>
    <w:rsid w:val="0011675B"/>
    <w:rsid w:val="00136AC9"/>
    <w:rsid w:val="00142961"/>
    <w:rsid w:val="001470AA"/>
    <w:rsid w:val="00153BF7"/>
    <w:rsid w:val="00153C69"/>
    <w:rsid w:val="0016113B"/>
    <w:rsid w:val="001632AB"/>
    <w:rsid w:val="00172A27"/>
    <w:rsid w:val="0018732E"/>
    <w:rsid w:val="00195F46"/>
    <w:rsid w:val="001A561C"/>
    <w:rsid w:val="001B3634"/>
    <w:rsid w:val="001C1894"/>
    <w:rsid w:val="001C196F"/>
    <w:rsid w:val="001E125B"/>
    <w:rsid w:val="001E262F"/>
    <w:rsid w:val="001F1BB1"/>
    <w:rsid w:val="001F415E"/>
    <w:rsid w:val="001F433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87519"/>
    <w:rsid w:val="002908C2"/>
    <w:rsid w:val="002A37CB"/>
    <w:rsid w:val="002B4661"/>
    <w:rsid w:val="002B6E74"/>
    <w:rsid w:val="002C4448"/>
    <w:rsid w:val="002C68AC"/>
    <w:rsid w:val="002C7CC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631"/>
    <w:rsid w:val="00343CE4"/>
    <w:rsid w:val="00344E48"/>
    <w:rsid w:val="003466BB"/>
    <w:rsid w:val="0035253F"/>
    <w:rsid w:val="003704FF"/>
    <w:rsid w:val="00370D7F"/>
    <w:rsid w:val="00372A00"/>
    <w:rsid w:val="00373667"/>
    <w:rsid w:val="00376E4B"/>
    <w:rsid w:val="00376EEB"/>
    <w:rsid w:val="003872BB"/>
    <w:rsid w:val="00396F31"/>
    <w:rsid w:val="003A1DCE"/>
    <w:rsid w:val="003A4365"/>
    <w:rsid w:val="003A6BBE"/>
    <w:rsid w:val="003A7EAD"/>
    <w:rsid w:val="003B53DF"/>
    <w:rsid w:val="003D44C6"/>
    <w:rsid w:val="003F7415"/>
    <w:rsid w:val="004003D2"/>
    <w:rsid w:val="004209E1"/>
    <w:rsid w:val="0042238B"/>
    <w:rsid w:val="00450C17"/>
    <w:rsid w:val="004545A5"/>
    <w:rsid w:val="004608F6"/>
    <w:rsid w:val="004724B4"/>
    <w:rsid w:val="00472B06"/>
    <w:rsid w:val="00477655"/>
    <w:rsid w:val="00482706"/>
    <w:rsid w:val="00490434"/>
    <w:rsid w:val="004A142B"/>
    <w:rsid w:val="004A5D1D"/>
    <w:rsid w:val="004A699E"/>
    <w:rsid w:val="004B44A9"/>
    <w:rsid w:val="004C1A54"/>
    <w:rsid w:val="004C4FD7"/>
    <w:rsid w:val="004F5994"/>
    <w:rsid w:val="00500F45"/>
    <w:rsid w:val="00503921"/>
    <w:rsid w:val="00507A00"/>
    <w:rsid w:val="005176E7"/>
    <w:rsid w:val="00523589"/>
    <w:rsid w:val="00523668"/>
    <w:rsid w:val="00523AD9"/>
    <w:rsid w:val="00523D5E"/>
    <w:rsid w:val="00527033"/>
    <w:rsid w:val="00531B5B"/>
    <w:rsid w:val="00532500"/>
    <w:rsid w:val="00541B22"/>
    <w:rsid w:val="00547723"/>
    <w:rsid w:val="00564BCB"/>
    <w:rsid w:val="00572F6E"/>
    <w:rsid w:val="00574776"/>
    <w:rsid w:val="0058526A"/>
    <w:rsid w:val="0059321F"/>
    <w:rsid w:val="00593818"/>
    <w:rsid w:val="00595A23"/>
    <w:rsid w:val="005A05C6"/>
    <w:rsid w:val="005A0FE9"/>
    <w:rsid w:val="005A5FC3"/>
    <w:rsid w:val="005B77A5"/>
    <w:rsid w:val="005C6B42"/>
    <w:rsid w:val="005D6A1C"/>
    <w:rsid w:val="005E2C89"/>
    <w:rsid w:val="005F26E5"/>
    <w:rsid w:val="005F432A"/>
    <w:rsid w:val="00611232"/>
    <w:rsid w:val="00614E28"/>
    <w:rsid w:val="00617EE7"/>
    <w:rsid w:val="00620288"/>
    <w:rsid w:val="00620D7C"/>
    <w:rsid w:val="00624C23"/>
    <w:rsid w:val="00637D11"/>
    <w:rsid w:val="00640B94"/>
    <w:rsid w:val="00642298"/>
    <w:rsid w:val="00646EAA"/>
    <w:rsid w:val="006501AA"/>
    <w:rsid w:val="006536B8"/>
    <w:rsid w:val="00676C72"/>
    <w:rsid w:val="00680FFF"/>
    <w:rsid w:val="00691376"/>
    <w:rsid w:val="006922EF"/>
    <w:rsid w:val="00694FB9"/>
    <w:rsid w:val="006C2229"/>
    <w:rsid w:val="006C55B1"/>
    <w:rsid w:val="006C69C1"/>
    <w:rsid w:val="006D11DE"/>
    <w:rsid w:val="006D36D6"/>
    <w:rsid w:val="006D3D89"/>
    <w:rsid w:val="006E01C3"/>
    <w:rsid w:val="00700636"/>
    <w:rsid w:val="00701BF9"/>
    <w:rsid w:val="007036F7"/>
    <w:rsid w:val="0070691A"/>
    <w:rsid w:val="0070693A"/>
    <w:rsid w:val="00717A38"/>
    <w:rsid w:val="007234F9"/>
    <w:rsid w:val="0073053B"/>
    <w:rsid w:val="00735DC1"/>
    <w:rsid w:val="007427BB"/>
    <w:rsid w:val="007440A2"/>
    <w:rsid w:val="00745143"/>
    <w:rsid w:val="00745D88"/>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903A35"/>
    <w:rsid w:val="00922624"/>
    <w:rsid w:val="00923BDA"/>
    <w:rsid w:val="00935BE8"/>
    <w:rsid w:val="0093617A"/>
    <w:rsid w:val="009411A5"/>
    <w:rsid w:val="00946A7C"/>
    <w:rsid w:val="00950DB1"/>
    <w:rsid w:val="00952C83"/>
    <w:rsid w:val="00957418"/>
    <w:rsid w:val="009610C6"/>
    <w:rsid w:val="0096194F"/>
    <w:rsid w:val="00966E7D"/>
    <w:rsid w:val="00970630"/>
    <w:rsid w:val="00971A1F"/>
    <w:rsid w:val="009734B7"/>
    <w:rsid w:val="00983FE2"/>
    <w:rsid w:val="00994A41"/>
    <w:rsid w:val="00995F04"/>
    <w:rsid w:val="009A380A"/>
    <w:rsid w:val="009A3A36"/>
    <w:rsid w:val="009A4AC3"/>
    <w:rsid w:val="009A4F31"/>
    <w:rsid w:val="009B05AD"/>
    <w:rsid w:val="009B18A3"/>
    <w:rsid w:val="009B5557"/>
    <w:rsid w:val="009D6400"/>
    <w:rsid w:val="009D7770"/>
    <w:rsid w:val="009D7C12"/>
    <w:rsid w:val="009F65A8"/>
    <w:rsid w:val="009F7747"/>
    <w:rsid w:val="00A14F22"/>
    <w:rsid w:val="00A171E5"/>
    <w:rsid w:val="00A17810"/>
    <w:rsid w:val="00A21523"/>
    <w:rsid w:val="00A26720"/>
    <w:rsid w:val="00A33BD9"/>
    <w:rsid w:val="00A40C3F"/>
    <w:rsid w:val="00A4182C"/>
    <w:rsid w:val="00A50B2A"/>
    <w:rsid w:val="00A54A48"/>
    <w:rsid w:val="00A551E2"/>
    <w:rsid w:val="00A56849"/>
    <w:rsid w:val="00A809DB"/>
    <w:rsid w:val="00A86EB5"/>
    <w:rsid w:val="00A91773"/>
    <w:rsid w:val="00A92854"/>
    <w:rsid w:val="00A92CA8"/>
    <w:rsid w:val="00AA1889"/>
    <w:rsid w:val="00AB0AAF"/>
    <w:rsid w:val="00AB251B"/>
    <w:rsid w:val="00AB44E1"/>
    <w:rsid w:val="00AB5108"/>
    <w:rsid w:val="00AB6D34"/>
    <w:rsid w:val="00AC24BF"/>
    <w:rsid w:val="00AD56C4"/>
    <w:rsid w:val="00AD7FE5"/>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5D22"/>
    <w:rsid w:val="00BF526E"/>
    <w:rsid w:val="00BF743C"/>
    <w:rsid w:val="00C07C74"/>
    <w:rsid w:val="00C12784"/>
    <w:rsid w:val="00C16276"/>
    <w:rsid w:val="00C2142E"/>
    <w:rsid w:val="00C22FCF"/>
    <w:rsid w:val="00C2334E"/>
    <w:rsid w:val="00C2713A"/>
    <w:rsid w:val="00C34FD0"/>
    <w:rsid w:val="00C625E3"/>
    <w:rsid w:val="00C67AE3"/>
    <w:rsid w:val="00C72CE2"/>
    <w:rsid w:val="00C76271"/>
    <w:rsid w:val="00C829B3"/>
    <w:rsid w:val="00C925E7"/>
    <w:rsid w:val="00CA09F5"/>
    <w:rsid w:val="00CA152B"/>
    <w:rsid w:val="00CB03D7"/>
    <w:rsid w:val="00CB046A"/>
    <w:rsid w:val="00CB7FB3"/>
    <w:rsid w:val="00CC01B0"/>
    <w:rsid w:val="00CC11A8"/>
    <w:rsid w:val="00CD5E4A"/>
    <w:rsid w:val="00CD62C4"/>
    <w:rsid w:val="00CD6EE2"/>
    <w:rsid w:val="00CE32ED"/>
    <w:rsid w:val="00CF0062"/>
    <w:rsid w:val="00CF25E8"/>
    <w:rsid w:val="00CF4293"/>
    <w:rsid w:val="00D06F00"/>
    <w:rsid w:val="00D14578"/>
    <w:rsid w:val="00D25314"/>
    <w:rsid w:val="00D27BF8"/>
    <w:rsid w:val="00D30D70"/>
    <w:rsid w:val="00D32A74"/>
    <w:rsid w:val="00D3541B"/>
    <w:rsid w:val="00D5276D"/>
    <w:rsid w:val="00D54F1B"/>
    <w:rsid w:val="00D57D7B"/>
    <w:rsid w:val="00D60DA9"/>
    <w:rsid w:val="00D714E2"/>
    <w:rsid w:val="00D7289E"/>
    <w:rsid w:val="00D82CF5"/>
    <w:rsid w:val="00D838A0"/>
    <w:rsid w:val="00D871C4"/>
    <w:rsid w:val="00D8785A"/>
    <w:rsid w:val="00D92E3B"/>
    <w:rsid w:val="00DA74F3"/>
    <w:rsid w:val="00DB0E95"/>
    <w:rsid w:val="00DC0C4F"/>
    <w:rsid w:val="00DC1213"/>
    <w:rsid w:val="00DC6E1E"/>
    <w:rsid w:val="00DC70F6"/>
    <w:rsid w:val="00DC724A"/>
    <w:rsid w:val="00DD5F49"/>
    <w:rsid w:val="00DF4482"/>
    <w:rsid w:val="00E05651"/>
    <w:rsid w:val="00E068AA"/>
    <w:rsid w:val="00E258FC"/>
    <w:rsid w:val="00E339EA"/>
    <w:rsid w:val="00E52879"/>
    <w:rsid w:val="00E55791"/>
    <w:rsid w:val="00E56340"/>
    <w:rsid w:val="00E66F2A"/>
    <w:rsid w:val="00E67009"/>
    <w:rsid w:val="00E704FD"/>
    <w:rsid w:val="00E74935"/>
    <w:rsid w:val="00E75D6F"/>
    <w:rsid w:val="00E8609B"/>
    <w:rsid w:val="00E92BF0"/>
    <w:rsid w:val="00E94718"/>
    <w:rsid w:val="00E95FFE"/>
    <w:rsid w:val="00EB70EA"/>
    <w:rsid w:val="00ED0DCA"/>
    <w:rsid w:val="00ED47A7"/>
    <w:rsid w:val="00EE1EE7"/>
    <w:rsid w:val="00F019E9"/>
    <w:rsid w:val="00F05DFC"/>
    <w:rsid w:val="00F072E8"/>
    <w:rsid w:val="00F143A1"/>
    <w:rsid w:val="00F1480F"/>
    <w:rsid w:val="00F14DDF"/>
    <w:rsid w:val="00F179F3"/>
    <w:rsid w:val="00F2072B"/>
    <w:rsid w:val="00F34277"/>
    <w:rsid w:val="00F4372E"/>
    <w:rsid w:val="00F453FE"/>
    <w:rsid w:val="00F55F16"/>
    <w:rsid w:val="00F71825"/>
    <w:rsid w:val="00F80169"/>
    <w:rsid w:val="00F82200"/>
    <w:rsid w:val="00F86352"/>
    <w:rsid w:val="00F95A32"/>
    <w:rsid w:val="00FA3FD9"/>
    <w:rsid w:val="00FA6AF6"/>
    <w:rsid w:val="00FA7D65"/>
    <w:rsid w:val="00FB593A"/>
    <w:rsid w:val="00FC72FB"/>
    <w:rsid w:val="00FE0900"/>
    <w:rsid w:val="010D0267"/>
    <w:rsid w:val="010D6400"/>
    <w:rsid w:val="01116D56"/>
    <w:rsid w:val="01466B34"/>
    <w:rsid w:val="01804EE8"/>
    <w:rsid w:val="01864AED"/>
    <w:rsid w:val="01B74129"/>
    <w:rsid w:val="01E24E7A"/>
    <w:rsid w:val="01E96EEF"/>
    <w:rsid w:val="0206750A"/>
    <w:rsid w:val="02081A95"/>
    <w:rsid w:val="020C3735"/>
    <w:rsid w:val="0213167F"/>
    <w:rsid w:val="021919F7"/>
    <w:rsid w:val="021F5697"/>
    <w:rsid w:val="02443513"/>
    <w:rsid w:val="024C16A6"/>
    <w:rsid w:val="027B6543"/>
    <w:rsid w:val="027C2452"/>
    <w:rsid w:val="0294765E"/>
    <w:rsid w:val="02A23A7B"/>
    <w:rsid w:val="02BE42E8"/>
    <w:rsid w:val="031A6DDF"/>
    <w:rsid w:val="032219B3"/>
    <w:rsid w:val="035F7137"/>
    <w:rsid w:val="0368661B"/>
    <w:rsid w:val="03F50BF8"/>
    <w:rsid w:val="03F757EE"/>
    <w:rsid w:val="040D5006"/>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4D537E"/>
    <w:rsid w:val="06541F59"/>
    <w:rsid w:val="06551195"/>
    <w:rsid w:val="067056D9"/>
    <w:rsid w:val="067A5C39"/>
    <w:rsid w:val="067F5C8B"/>
    <w:rsid w:val="06883795"/>
    <w:rsid w:val="069258CC"/>
    <w:rsid w:val="06A12B72"/>
    <w:rsid w:val="06D94F62"/>
    <w:rsid w:val="06E930D6"/>
    <w:rsid w:val="06F9688C"/>
    <w:rsid w:val="06FA3145"/>
    <w:rsid w:val="07226B5B"/>
    <w:rsid w:val="073C0F1E"/>
    <w:rsid w:val="07573824"/>
    <w:rsid w:val="075A5568"/>
    <w:rsid w:val="077046F9"/>
    <w:rsid w:val="07816512"/>
    <w:rsid w:val="0797540B"/>
    <w:rsid w:val="07C51163"/>
    <w:rsid w:val="07F63B68"/>
    <w:rsid w:val="07FE43B3"/>
    <w:rsid w:val="07FF469C"/>
    <w:rsid w:val="08067A83"/>
    <w:rsid w:val="080C2DB1"/>
    <w:rsid w:val="0833579F"/>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62F76"/>
    <w:rsid w:val="0B17278B"/>
    <w:rsid w:val="0B2161DE"/>
    <w:rsid w:val="0B24227A"/>
    <w:rsid w:val="0B2C066D"/>
    <w:rsid w:val="0B372F62"/>
    <w:rsid w:val="0B521F7D"/>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6C56AD"/>
    <w:rsid w:val="0E8756CE"/>
    <w:rsid w:val="0E875907"/>
    <w:rsid w:val="0E9E306F"/>
    <w:rsid w:val="0EBB7481"/>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84280"/>
    <w:rsid w:val="105D7F23"/>
    <w:rsid w:val="108E0879"/>
    <w:rsid w:val="10C26EF0"/>
    <w:rsid w:val="10C359D9"/>
    <w:rsid w:val="10C671B1"/>
    <w:rsid w:val="11011524"/>
    <w:rsid w:val="110877A1"/>
    <w:rsid w:val="110D72EA"/>
    <w:rsid w:val="110E7959"/>
    <w:rsid w:val="1119722C"/>
    <w:rsid w:val="1127264D"/>
    <w:rsid w:val="11434434"/>
    <w:rsid w:val="114A05F1"/>
    <w:rsid w:val="115C58D6"/>
    <w:rsid w:val="11604BE2"/>
    <w:rsid w:val="118F4329"/>
    <w:rsid w:val="119F6D5C"/>
    <w:rsid w:val="11A0225A"/>
    <w:rsid w:val="11A922D8"/>
    <w:rsid w:val="11C768AC"/>
    <w:rsid w:val="11D45AE1"/>
    <w:rsid w:val="11EA2125"/>
    <w:rsid w:val="12023099"/>
    <w:rsid w:val="12373AAE"/>
    <w:rsid w:val="124D011C"/>
    <w:rsid w:val="12753E07"/>
    <w:rsid w:val="127A4F54"/>
    <w:rsid w:val="127B28B7"/>
    <w:rsid w:val="129245E5"/>
    <w:rsid w:val="12C10D7D"/>
    <w:rsid w:val="12CE1204"/>
    <w:rsid w:val="12F06EE1"/>
    <w:rsid w:val="12F27089"/>
    <w:rsid w:val="12F32533"/>
    <w:rsid w:val="12F34854"/>
    <w:rsid w:val="13410CCA"/>
    <w:rsid w:val="134F7B0B"/>
    <w:rsid w:val="13683A5C"/>
    <w:rsid w:val="137C5217"/>
    <w:rsid w:val="13917553"/>
    <w:rsid w:val="13B07F3E"/>
    <w:rsid w:val="13B26405"/>
    <w:rsid w:val="13BF5ED3"/>
    <w:rsid w:val="13D5662D"/>
    <w:rsid w:val="13FD1C15"/>
    <w:rsid w:val="14083C98"/>
    <w:rsid w:val="140876D8"/>
    <w:rsid w:val="141C18EA"/>
    <w:rsid w:val="141F1808"/>
    <w:rsid w:val="142E08FB"/>
    <w:rsid w:val="142F7B6B"/>
    <w:rsid w:val="1441758D"/>
    <w:rsid w:val="145E7A95"/>
    <w:rsid w:val="146575A3"/>
    <w:rsid w:val="15006FBE"/>
    <w:rsid w:val="15184125"/>
    <w:rsid w:val="151F6B5A"/>
    <w:rsid w:val="15212130"/>
    <w:rsid w:val="156342EB"/>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7C065C"/>
    <w:rsid w:val="16A61F0D"/>
    <w:rsid w:val="16AC5F02"/>
    <w:rsid w:val="16B27F4D"/>
    <w:rsid w:val="16C77FE5"/>
    <w:rsid w:val="16F47E57"/>
    <w:rsid w:val="16F53AB0"/>
    <w:rsid w:val="17220FF1"/>
    <w:rsid w:val="17320F2E"/>
    <w:rsid w:val="17613E3F"/>
    <w:rsid w:val="17664D13"/>
    <w:rsid w:val="1766777C"/>
    <w:rsid w:val="17676E2A"/>
    <w:rsid w:val="176D41EE"/>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7E2320"/>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23360"/>
    <w:rsid w:val="1A3573C0"/>
    <w:rsid w:val="1A58762F"/>
    <w:rsid w:val="1A853052"/>
    <w:rsid w:val="1A9D156F"/>
    <w:rsid w:val="1AA80D9B"/>
    <w:rsid w:val="1AA847EC"/>
    <w:rsid w:val="1AAD0BB3"/>
    <w:rsid w:val="1AD01EB8"/>
    <w:rsid w:val="1AD03E52"/>
    <w:rsid w:val="1AD875EC"/>
    <w:rsid w:val="1AE26A3D"/>
    <w:rsid w:val="1AF475AD"/>
    <w:rsid w:val="1AF92EDF"/>
    <w:rsid w:val="1AFD70F0"/>
    <w:rsid w:val="1B0270FF"/>
    <w:rsid w:val="1B181DD9"/>
    <w:rsid w:val="1B2F477F"/>
    <w:rsid w:val="1B367AC4"/>
    <w:rsid w:val="1B6C3B7D"/>
    <w:rsid w:val="1B7F0ABE"/>
    <w:rsid w:val="1B834589"/>
    <w:rsid w:val="1B9E5684"/>
    <w:rsid w:val="1BA75872"/>
    <w:rsid w:val="1BAB396E"/>
    <w:rsid w:val="1BB07C7C"/>
    <w:rsid w:val="1BBB692B"/>
    <w:rsid w:val="1BBF0E19"/>
    <w:rsid w:val="1BCD692F"/>
    <w:rsid w:val="1BE23EBD"/>
    <w:rsid w:val="1BFB1528"/>
    <w:rsid w:val="1C0358FF"/>
    <w:rsid w:val="1C0B3587"/>
    <w:rsid w:val="1C2E6201"/>
    <w:rsid w:val="1C302928"/>
    <w:rsid w:val="1C52178E"/>
    <w:rsid w:val="1C68632B"/>
    <w:rsid w:val="1C9F1651"/>
    <w:rsid w:val="1CEB46F7"/>
    <w:rsid w:val="1D144163"/>
    <w:rsid w:val="1D23735C"/>
    <w:rsid w:val="1D54071F"/>
    <w:rsid w:val="1D583334"/>
    <w:rsid w:val="1D6451C6"/>
    <w:rsid w:val="1D654C9F"/>
    <w:rsid w:val="1D69417C"/>
    <w:rsid w:val="1D807289"/>
    <w:rsid w:val="1D975DF7"/>
    <w:rsid w:val="1D9B123D"/>
    <w:rsid w:val="1D9E12E8"/>
    <w:rsid w:val="1DCB4927"/>
    <w:rsid w:val="1DD42827"/>
    <w:rsid w:val="1DD6405C"/>
    <w:rsid w:val="1DDD3571"/>
    <w:rsid w:val="1E190463"/>
    <w:rsid w:val="1E24668A"/>
    <w:rsid w:val="1E2A27A6"/>
    <w:rsid w:val="1E4B2FD7"/>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75093F"/>
    <w:rsid w:val="20786BA2"/>
    <w:rsid w:val="207F447D"/>
    <w:rsid w:val="209D6390"/>
    <w:rsid w:val="20A160B2"/>
    <w:rsid w:val="20D105CB"/>
    <w:rsid w:val="20D16460"/>
    <w:rsid w:val="20DD7F39"/>
    <w:rsid w:val="20E24774"/>
    <w:rsid w:val="20F25221"/>
    <w:rsid w:val="21145BE0"/>
    <w:rsid w:val="216365D8"/>
    <w:rsid w:val="2165140C"/>
    <w:rsid w:val="21691F88"/>
    <w:rsid w:val="2187182E"/>
    <w:rsid w:val="218A070F"/>
    <w:rsid w:val="21957939"/>
    <w:rsid w:val="21C1624C"/>
    <w:rsid w:val="21E26EA0"/>
    <w:rsid w:val="21F950CF"/>
    <w:rsid w:val="22045432"/>
    <w:rsid w:val="222A3C9E"/>
    <w:rsid w:val="22396FF8"/>
    <w:rsid w:val="22431035"/>
    <w:rsid w:val="225C0846"/>
    <w:rsid w:val="227C1616"/>
    <w:rsid w:val="22AB1DA6"/>
    <w:rsid w:val="22B0252A"/>
    <w:rsid w:val="22D75BB2"/>
    <w:rsid w:val="22E819D8"/>
    <w:rsid w:val="22F57E73"/>
    <w:rsid w:val="231523F7"/>
    <w:rsid w:val="233C61BC"/>
    <w:rsid w:val="234B605E"/>
    <w:rsid w:val="235133E3"/>
    <w:rsid w:val="23560A29"/>
    <w:rsid w:val="238A4219"/>
    <w:rsid w:val="239051E5"/>
    <w:rsid w:val="23987B60"/>
    <w:rsid w:val="239D13E8"/>
    <w:rsid w:val="239F7F68"/>
    <w:rsid w:val="23ED0F94"/>
    <w:rsid w:val="23FC3011"/>
    <w:rsid w:val="240D18BD"/>
    <w:rsid w:val="244A685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BD3670"/>
    <w:rsid w:val="26E810E0"/>
    <w:rsid w:val="272A117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8FC661A"/>
    <w:rsid w:val="29095837"/>
    <w:rsid w:val="293734A8"/>
    <w:rsid w:val="294E0AA4"/>
    <w:rsid w:val="296735A6"/>
    <w:rsid w:val="296D7E15"/>
    <w:rsid w:val="29962D19"/>
    <w:rsid w:val="29AD3BB2"/>
    <w:rsid w:val="29B4309C"/>
    <w:rsid w:val="29C30BAC"/>
    <w:rsid w:val="29CD7458"/>
    <w:rsid w:val="29D9048F"/>
    <w:rsid w:val="29EA3395"/>
    <w:rsid w:val="29EF70CC"/>
    <w:rsid w:val="2A1C62F4"/>
    <w:rsid w:val="2A5A4235"/>
    <w:rsid w:val="2A5F0A9A"/>
    <w:rsid w:val="2A802A87"/>
    <w:rsid w:val="2A931BB9"/>
    <w:rsid w:val="2A9D346A"/>
    <w:rsid w:val="2AB51A38"/>
    <w:rsid w:val="2AB903D8"/>
    <w:rsid w:val="2ACD6CCC"/>
    <w:rsid w:val="2ADF720A"/>
    <w:rsid w:val="2AEE4512"/>
    <w:rsid w:val="2B341240"/>
    <w:rsid w:val="2B34584A"/>
    <w:rsid w:val="2B376A5F"/>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7F72F8"/>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86CA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40528F"/>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AC3F23"/>
    <w:rsid w:val="31D94323"/>
    <w:rsid w:val="31F43EF2"/>
    <w:rsid w:val="320F656E"/>
    <w:rsid w:val="3229313A"/>
    <w:rsid w:val="322A09EC"/>
    <w:rsid w:val="322E6D47"/>
    <w:rsid w:val="32343227"/>
    <w:rsid w:val="324748F5"/>
    <w:rsid w:val="326F5B7D"/>
    <w:rsid w:val="327945B0"/>
    <w:rsid w:val="32960F82"/>
    <w:rsid w:val="32C3640C"/>
    <w:rsid w:val="32C47E69"/>
    <w:rsid w:val="32DF4B9C"/>
    <w:rsid w:val="32EE5E66"/>
    <w:rsid w:val="32F707FF"/>
    <w:rsid w:val="32FE7982"/>
    <w:rsid w:val="33024413"/>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32AF7"/>
    <w:rsid w:val="36B77EB7"/>
    <w:rsid w:val="36DE7BD3"/>
    <w:rsid w:val="37592FE4"/>
    <w:rsid w:val="375E20CF"/>
    <w:rsid w:val="377336AC"/>
    <w:rsid w:val="377F502A"/>
    <w:rsid w:val="37804449"/>
    <w:rsid w:val="378A028C"/>
    <w:rsid w:val="37B93AA0"/>
    <w:rsid w:val="37BC42C1"/>
    <w:rsid w:val="37CA1388"/>
    <w:rsid w:val="37CC6ED3"/>
    <w:rsid w:val="37EF61C0"/>
    <w:rsid w:val="37F503AA"/>
    <w:rsid w:val="37F94643"/>
    <w:rsid w:val="37FB24F6"/>
    <w:rsid w:val="3806724C"/>
    <w:rsid w:val="38292EF5"/>
    <w:rsid w:val="38305180"/>
    <w:rsid w:val="383B2625"/>
    <w:rsid w:val="3850158A"/>
    <w:rsid w:val="385C1B7F"/>
    <w:rsid w:val="38610D05"/>
    <w:rsid w:val="388F49F5"/>
    <w:rsid w:val="38AB3C78"/>
    <w:rsid w:val="38FA192C"/>
    <w:rsid w:val="39076C11"/>
    <w:rsid w:val="391F2580"/>
    <w:rsid w:val="39221703"/>
    <w:rsid w:val="39283EEC"/>
    <w:rsid w:val="392D67AC"/>
    <w:rsid w:val="3930488C"/>
    <w:rsid w:val="39401394"/>
    <w:rsid w:val="3968060E"/>
    <w:rsid w:val="398473E8"/>
    <w:rsid w:val="39A644DA"/>
    <w:rsid w:val="39A76F1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D07B39"/>
    <w:rsid w:val="3EEE4BA8"/>
    <w:rsid w:val="3EF015BD"/>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11E2BE4"/>
    <w:rsid w:val="412C41AD"/>
    <w:rsid w:val="413A144A"/>
    <w:rsid w:val="41694287"/>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A01E28"/>
    <w:rsid w:val="43B24CCF"/>
    <w:rsid w:val="43B43752"/>
    <w:rsid w:val="43D14618"/>
    <w:rsid w:val="43E63027"/>
    <w:rsid w:val="43F60E90"/>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6E1128F"/>
    <w:rsid w:val="47032B85"/>
    <w:rsid w:val="47111705"/>
    <w:rsid w:val="4719625B"/>
    <w:rsid w:val="471F5D6A"/>
    <w:rsid w:val="472C0755"/>
    <w:rsid w:val="4745188E"/>
    <w:rsid w:val="476D2EF2"/>
    <w:rsid w:val="476E7A2B"/>
    <w:rsid w:val="477A07F4"/>
    <w:rsid w:val="477E2B52"/>
    <w:rsid w:val="47B54AA8"/>
    <w:rsid w:val="47BD13B2"/>
    <w:rsid w:val="47BF5406"/>
    <w:rsid w:val="47C073E7"/>
    <w:rsid w:val="47C621A4"/>
    <w:rsid w:val="47DE197A"/>
    <w:rsid w:val="47F04F1C"/>
    <w:rsid w:val="47F261EE"/>
    <w:rsid w:val="4801327C"/>
    <w:rsid w:val="4858737E"/>
    <w:rsid w:val="48713429"/>
    <w:rsid w:val="487B3B0A"/>
    <w:rsid w:val="4891605D"/>
    <w:rsid w:val="48D173C6"/>
    <w:rsid w:val="48E02F78"/>
    <w:rsid w:val="48E76F84"/>
    <w:rsid w:val="48F00546"/>
    <w:rsid w:val="4906501C"/>
    <w:rsid w:val="49132398"/>
    <w:rsid w:val="491B5B23"/>
    <w:rsid w:val="493B491E"/>
    <w:rsid w:val="494305AE"/>
    <w:rsid w:val="49550F29"/>
    <w:rsid w:val="49731CA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70AD"/>
    <w:rsid w:val="4B151DD8"/>
    <w:rsid w:val="4B2F5A69"/>
    <w:rsid w:val="4B600DBB"/>
    <w:rsid w:val="4B740186"/>
    <w:rsid w:val="4B7467CA"/>
    <w:rsid w:val="4B8464B3"/>
    <w:rsid w:val="4B96469A"/>
    <w:rsid w:val="4BD47B3A"/>
    <w:rsid w:val="4BE60345"/>
    <w:rsid w:val="4BF61A49"/>
    <w:rsid w:val="4BFD254C"/>
    <w:rsid w:val="4BFD2BB9"/>
    <w:rsid w:val="4C007D9B"/>
    <w:rsid w:val="4C097E52"/>
    <w:rsid w:val="4C251632"/>
    <w:rsid w:val="4C266DAF"/>
    <w:rsid w:val="4C3C7997"/>
    <w:rsid w:val="4C423D11"/>
    <w:rsid w:val="4C4277B1"/>
    <w:rsid w:val="4C4A7111"/>
    <w:rsid w:val="4C9A635E"/>
    <w:rsid w:val="4C9C71E2"/>
    <w:rsid w:val="4CA860AF"/>
    <w:rsid w:val="4CB66E36"/>
    <w:rsid w:val="4CBB0898"/>
    <w:rsid w:val="4CD04687"/>
    <w:rsid w:val="4D09681B"/>
    <w:rsid w:val="4D1A6222"/>
    <w:rsid w:val="4D2B1C5F"/>
    <w:rsid w:val="4D2E64BA"/>
    <w:rsid w:val="4D316971"/>
    <w:rsid w:val="4D423028"/>
    <w:rsid w:val="4D581632"/>
    <w:rsid w:val="4D692C32"/>
    <w:rsid w:val="4D6E3CCE"/>
    <w:rsid w:val="4D7901E4"/>
    <w:rsid w:val="4D805757"/>
    <w:rsid w:val="4DB6078F"/>
    <w:rsid w:val="4DCB0227"/>
    <w:rsid w:val="4DCF155E"/>
    <w:rsid w:val="4DD11AEE"/>
    <w:rsid w:val="4DE22B61"/>
    <w:rsid w:val="4E071018"/>
    <w:rsid w:val="4E1E35A8"/>
    <w:rsid w:val="4E4A36DE"/>
    <w:rsid w:val="4E4B1237"/>
    <w:rsid w:val="4E685D9D"/>
    <w:rsid w:val="4E997F39"/>
    <w:rsid w:val="4EA45038"/>
    <w:rsid w:val="4EA535EA"/>
    <w:rsid w:val="4EAB7555"/>
    <w:rsid w:val="4EB16F4D"/>
    <w:rsid w:val="4ED37A9C"/>
    <w:rsid w:val="4EDE0A69"/>
    <w:rsid w:val="4EF438A7"/>
    <w:rsid w:val="4EF74679"/>
    <w:rsid w:val="4F053AD4"/>
    <w:rsid w:val="4F4F7C97"/>
    <w:rsid w:val="4F7F3425"/>
    <w:rsid w:val="4F890EBD"/>
    <w:rsid w:val="4F951D60"/>
    <w:rsid w:val="4FAB27E4"/>
    <w:rsid w:val="4FAD4336"/>
    <w:rsid w:val="4FEA66FB"/>
    <w:rsid w:val="50000326"/>
    <w:rsid w:val="500C6D59"/>
    <w:rsid w:val="5012456C"/>
    <w:rsid w:val="501B0160"/>
    <w:rsid w:val="5028413A"/>
    <w:rsid w:val="5034185C"/>
    <w:rsid w:val="50662285"/>
    <w:rsid w:val="50935D58"/>
    <w:rsid w:val="509473B7"/>
    <w:rsid w:val="50C85002"/>
    <w:rsid w:val="50D3250E"/>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71CDC"/>
    <w:rsid w:val="52BE0F28"/>
    <w:rsid w:val="52D32108"/>
    <w:rsid w:val="52D6356D"/>
    <w:rsid w:val="52F77D67"/>
    <w:rsid w:val="52F836E3"/>
    <w:rsid w:val="532F7394"/>
    <w:rsid w:val="53385FAE"/>
    <w:rsid w:val="534E489F"/>
    <w:rsid w:val="536E730E"/>
    <w:rsid w:val="537C2BD7"/>
    <w:rsid w:val="53971E29"/>
    <w:rsid w:val="53A35F99"/>
    <w:rsid w:val="53CE14D5"/>
    <w:rsid w:val="53E6334F"/>
    <w:rsid w:val="53FB17FA"/>
    <w:rsid w:val="541534DB"/>
    <w:rsid w:val="541862F0"/>
    <w:rsid w:val="546A6559"/>
    <w:rsid w:val="546F0B91"/>
    <w:rsid w:val="54B70A61"/>
    <w:rsid w:val="54B779B5"/>
    <w:rsid w:val="54D25371"/>
    <w:rsid w:val="54E23AE7"/>
    <w:rsid w:val="54EA3421"/>
    <w:rsid w:val="54EC1FC6"/>
    <w:rsid w:val="54EC416F"/>
    <w:rsid w:val="552C68B9"/>
    <w:rsid w:val="55335647"/>
    <w:rsid w:val="5538682D"/>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07618"/>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3F549A"/>
    <w:rsid w:val="57553D3F"/>
    <w:rsid w:val="57703672"/>
    <w:rsid w:val="5773534B"/>
    <w:rsid w:val="57780B7F"/>
    <w:rsid w:val="57856672"/>
    <w:rsid w:val="579D25BA"/>
    <w:rsid w:val="57A55FE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F609E4"/>
    <w:rsid w:val="58FB67BC"/>
    <w:rsid w:val="5930657D"/>
    <w:rsid w:val="59327DEB"/>
    <w:rsid w:val="59392E42"/>
    <w:rsid w:val="593B5B55"/>
    <w:rsid w:val="593D19BE"/>
    <w:rsid w:val="597D137C"/>
    <w:rsid w:val="599D01FE"/>
    <w:rsid w:val="59CB134C"/>
    <w:rsid w:val="59D13042"/>
    <w:rsid w:val="59EA652F"/>
    <w:rsid w:val="5A3F6176"/>
    <w:rsid w:val="5A5419CE"/>
    <w:rsid w:val="5A5A38F1"/>
    <w:rsid w:val="5A6707CA"/>
    <w:rsid w:val="5A7629B7"/>
    <w:rsid w:val="5A801EAD"/>
    <w:rsid w:val="5A83298E"/>
    <w:rsid w:val="5A84337E"/>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8977BD"/>
    <w:rsid w:val="5BAD031C"/>
    <w:rsid w:val="5BAE5BB1"/>
    <w:rsid w:val="5BB36D0A"/>
    <w:rsid w:val="5BD03C5A"/>
    <w:rsid w:val="5BD33975"/>
    <w:rsid w:val="5BDA775F"/>
    <w:rsid w:val="5BEA7806"/>
    <w:rsid w:val="5BED1355"/>
    <w:rsid w:val="5BFD5E46"/>
    <w:rsid w:val="5C035D5C"/>
    <w:rsid w:val="5C054372"/>
    <w:rsid w:val="5C0B1081"/>
    <w:rsid w:val="5C2E76F3"/>
    <w:rsid w:val="5C430C9C"/>
    <w:rsid w:val="5C531DAC"/>
    <w:rsid w:val="5C5E26D2"/>
    <w:rsid w:val="5C5F19A2"/>
    <w:rsid w:val="5C6742FC"/>
    <w:rsid w:val="5C7870C9"/>
    <w:rsid w:val="5C793AF2"/>
    <w:rsid w:val="5C885120"/>
    <w:rsid w:val="5C8D094F"/>
    <w:rsid w:val="5CAA3CDC"/>
    <w:rsid w:val="5CC14996"/>
    <w:rsid w:val="5CE42BFC"/>
    <w:rsid w:val="5D08718A"/>
    <w:rsid w:val="5D33075C"/>
    <w:rsid w:val="5D38401E"/>
    <w:rsid w:val="5D42131E"/>
    <w:rsid w:val="5D4B0C7E"/>
    <w:rsid w:val="5D65772A"/>
    <w:rsid w:val="5D787E7B"/>
    <w:rsid w:val="5D910290"/>
    <w:rsid w:val="5DA30012"/>
    <w:rsid w:val="5DC93120"/>
    <w:rsid w:val="5DDA6F3B"/>
    <w:rsid w:val="5DDB5F91"/>
    <w:rsid w:val="5E282729"/>
    <w:rsid w:val="5E2C3252"/>
    <w:rsid w:val="5E39000D"/>
    <w:rsid w:val="5E5007AD"/>
    <w:rsid w:val="5E575A00"/>
    <w:rsid w:val="5E5B33A6"/>
    <w:rsid w:val="5EEC29C3"/>
    <w:rsid w:val="5EF527AD"/>
    <w:rsid w:val="5F0241A8"/>
    <w:rsid w:val="5F031737"/>
    <w:rsid w:val="5F1A1471"/>
    <w:rsid w:val="5F1B570F"/>
    <w:rsid w:val="5F4013BA"/>
    <w:rsid w:val="5F515252"/>
    <w:rsid w:val="5F882D2B"/>
    <w:rsid w:val="5FD025CB"/>
    <w:rsid w:val="5FD41E39"/>
    <w:rsid w:val="5FDC496F"/>
    <w:rsid w:val="5FEA0E05"/>
    <w:rsid w:val="5FEA1BFF"/>
    <w:rsid w:val="5FFA2F3B"/>
    <w:rsid w:val="600D47EB"/>
    <w:rsid w:val="60240F4A"/>
    <w:rsid w:val="602A2F0C"/>
    <w:rsid w:val="602F3018"/>
    <w:rsid w:val="605E48C7"/>
    <w:rsid w:val="606A7181"/>
    <w:rsid w:val="608D0DC2"/>
    <w:rsid w:val="60CF4513"/>
    <w:rsid w:val="60D87E5D"/>
    <w:rsid w:val="60F668B8"/>
    <w:rsid w:val="60FC46B7"/>
    <w:rsid w:val="61002168"/>
    <w:rsid w:val="61172DD5"/>
    <w:rsid w:val="6138206E"/>
    <w:rsid w:val="61396AA0"/>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8F73F7"/>
    <w:rsid w:val="63A53A61"/>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6033A2"/>
    <w:rsid w:val="65815AA0"/>
    <w:rsid w:val="658855D4"/>
    <w:rsid w:val="658867B3"/>
    <w:rsid w:val="659B42A0"/>
    <w:rsid w:val="65A8095A"/>
    <w:rsid w:val="65F1238A"/>
    <w:rsid w:val="65F35604"/>
    <w:rsid w:val="65FF3198"/>
    <w:rsid w:val="660E4488"/>
    <w:rsid w:val="66393EC0"/>
    <w:rsid w:val="663B062F"/>
    <w:rsid w:val="663E4EF3"/>
    <w:rsid w:val="66471F83"/>
    <w:rsid w:val="665A01D2"/>
    <w:rsid w:val="6688533A"/>
    <w:rsid w:val="66BB442F"/>
    <w:rsid w:val="66D02521"/>
    <w:rsid w:val="67097AAB"/>
    <w:rsid w:val="670C3488"/>
    <w:rsid w:val="672E09CF"/>
    <w:rsid w:val="67365DB5"/>
    <w:rsid w:val="677507BF"/>
    <w:rsid w:val="6792126C"/>
    <w:rsid w:val="67A97CFB"/>
    <w:rsid w:val="67EC006A"/>
    <w:rsid w:val="680328B7"/>
    <w:rsid w:val="680D5EE5"/>
    <w:rsid w:val="680D7573"/>
    <w:rsid w:val="68107593"/>
    <w:rsid w:val="684D1BE5"/>
    <w:rsid w:val="68651677"/>
    <w:rsid w:val="686F261C"/>
    <w:rsid w:val="687E3602"/>
    <w:rsid w:val="688F77C3"/>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EB550E"/>
    <w:rsid w:val="6AF47AD0"/>
    <w:rsid w:val="6B0B7792"/>
    <w:rsid w:val="6B18387B"/>
    <w:rsid w:val="6B213C7A"/>
    <w:rsid w:val="6B2726B5"/>
    <w:rsid w:val="6B5760AD"/>
    <w:rsid w:val="6B6356A7"/>
    <w:rsid w:val="6B6F2555"/>
    <w:rsid w:val="6B6F75D9"/>
    <w:rsid w:val="6B7753BB"/>
    <w:rsid w:val="6B7A6C48"/>
    <w:rsid w:val="6B8223B8"/>
    <w:rsid w:val="6BA303EE"/>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020A5"/>
    <w:rsid w:val="6D96046C"/>
    <w:rsid w:val="6DC91D5B"/>
    <w:rsid w:val="6DCA201B"/>
    <w:rsid w:val="6DD50561"/>
    <w:rsid w:val="6DF021A3"/>
    <w:rsid w:val="6E124286"/>
    <w:rsid w:val="6E134309"/>
    <w:rsid w:val="6E1A1F69"/>
    <w:rsid w:val="6E3B5323"/>
    <w:rsid w:val="6E793023"/>
    <w:rsid w:val="6E7F7AFB"/>
    <w:rsid w:val="6EB770BA"/>
    <w:rsid w:val="6EB96505"/>
    <w:rsid w:val="6EBA2EF1"/>
    <w:rsid w:val="6ED43ACF"/>
    <w:rsid w:val="6EDF1CCE"/>
    <w:rsid w:val="6EEA71F0"/>
    <w:rsid w:val="6F2B434D"/>
    <w:rsid w:val="6F2C5B46"/>
    <w:rsid w:val="6F2D78EE"/>
    <w:rsid w:val="6F4E71A8"/>
    <w:rsid w:val="6F70301C"/>
    <w:rsid w:val="6F781F55"/>
    <w:rsid w:val="6F7C562E"/>
    <w:rsid w:val="6FB6139F"/>
    <w:rsid w:val="6FB93CAC"/>
    <w:rsid w:val="6FB95193"/>
    <w:rsid w:val="6FE60D34"/>
    <w:rsid w:val="6FEE7F40"/>
    <w:rsid w:val="70015EAC"/>
    <w:rsid w:val="70093C44"/>
    <w:rsid w:val="7013025E"/>
    <w:rsid w:val="70150176"/>
    <w:rsid w:val="706A4129"/>
    <w:rsid w:val="70747A02"/>
    <w:rsid w:val="7076111A"/>
    <w:rsid w:val="70B73E00"/>
    <w:rsid w:val="70F2796B"/>
    <w:rsid w:val="71080C0E"/>
    <w:rsid w:val="710F1765"/>
    <w:rsid w:val="71102404"/>
    <w:rsid w:val="711A1C30"/>
    <w:rsid w:val="711D088F"/>
    <w:rsid w:val="711E6ABB"/>
    <w:rsid w:val="71400456"/>
    <w:rsid w:val="714C2EBE"/>
    <w:rsid w:val="71611C06"/>
    <w:rsid w:val="71636191"/>
    <w:rsid w:val="71686453"/>
    <w:rsid w:val="71A976A3"/>
    <w:rsid w:val="71B83D73"/>
    <w:rsid w:val="71C94377"/>
    <w:rsid w:val="71D6274F"/>
    <w:rsid w:val="726E4C9E"/>
    <w:rsid w:val="7289516B"/>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22148A"/>
    <w:rsid w:val="74472CC7"/>
    <w:rsid w:val="748330DD"/>
    <w:rsid w:val="7485747A"/>
    <w:rsid w:val="748D3B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703988"/>
    <w:rsid w:val="7672217C"/>
    <w:rsid w:val="76A12DC3"/>
    <w:rsid w:val="76D15B17"/>
    <w:rsid w:val="76DA768E"/>
    <w:rsid w:val="77186B1E"/>
    <w:rsid w:val="77645C7D"/>
    <w:rsid w:val="777439C1"/>
    <w:rsid w:val="778B1158"/>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303322"/>
    <w:rsid w:val="7A7F6A39"/>
    <w:rsid w:val="7A9A2995"/>
    <w:rsid w:val="7A9E37B9"/>
    <w:rsid w:val="7AA85A57"/>
    <w:rsid w:val="7AA97571"/>
    <w:rsid w:val="7AD1328F"/>
    <w:rsid w:val="7AF26D81"/>
    <w:rsid w:val="7AF464E6"/>
    <w:rsid w:val="7AF6549D"/>
    <w:rsid w:val="7B014170"/>
    <w:rsid w:val="7B5C346C"/>
    <w:rsid w:val="7B5E5C27"/>
    <w:rsid w:val="7B652196"/>
    <w:rsid w:val="7B762D9E"/>
    <w:rsid w:val="7B784952"/>
    <w:rsid w:val="7B7C479D"/>
    <w:rsid w:val="7B7E15E7"/>
    <w:rsid w:val="7B920A5D"/>
    <w:rsid w:val="7BA1455F"/>
    <w:rsid w:val="7BA43A1B"/>
    <w:rsid w:val="7BCC7A90"/>
    <w:rsid w:val="7BDC1294"/>
    <w:rsid w:val="7BF2190A"/>
    <w:rsid w:val="7C010589"/>
    <w:rsid w:val="7C036351"/>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E7FD0"/>
    <w:rsid w:val="7E1B6002"/>
    <w:rsid w:val="7E1F4180"/>
    <w:rsid w:val="7E433210"/>
    <w:rsid w:val="7E575AC2"/>
    <w:rsid w:val="7E580C80"/>
    <w:rsid w:val="7E68207B"/>
    <w:rsid w:val="7E8B6473"/>
    <w:rsid w:val="7E950FE9"/>
    <w:rsid w:val="7EA454D3"/>
    <w:rsid w:val="7EC009E8"/>
    <w:rsid w:val="7ED16523"/>
    <w:rsid w:val="7EF96B1E"/>
    <w:rsid w:val="7F410352"/>
    <w:rsid w:val="7F440F7A"/>
    <w:rsid w:val="7F510226"/>
    <w:rsid w:val="7F633EFB"/>
    <w:rsid w:val="7F634386"/>
    <w:rsid w:val="7F927A8D"/>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4"/>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6"/>
    <w:qFormat/>
    <w:uiPriority w:val="0"/>
    <w:pPr>
      <w:numPr>
        <w:ilvl w:val="2"/>
      </w:numPr>
      <w:spacing w:before="120"/>
      <w:outlineLvl w:val="2"/>
    </w:pPr>
    <w:rPr>
      <w:sz w:val="24"/>
    </w:rPr>
  </w:style>
  <w:style w:type="paragraph" w:styleId="5">
    <w:name w:val="heading 4"/>
    <w:basedOn w:val="1"/>
    <w:next w:val="1"/>
    <w:unhideWhenUsed/>
    <w:qFormat/>
    <w:uiPriority w:val="9"/>
    <w:pPr>
      <w:keepNext/>
      <w:keepLines/>
      <w:spacing w:beforeLines="0" w:afterLines="0" w:line="372" w:lineRule="auto"/>
      <w:outlineLvl w:val="3"/>
    </w:pPr>
    <w:rPr>
      <w:rFonts w:ascii="Arial" w:hAnsi="Arial" w:eastAsia="黑体"/>
      <w:b/>
      <w:sz w:val="28"/>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99"/>
    <w:rPr>
      <w:rFonts w:ascii="Arial" w:hAnsi="Arial" w:eastAsia="黑体"/>
      <w:sz w:val="20"/>
    </w:rPr>
  </w:style>
  <w:style w:type="paragraph" w:styleId="7">
    <w:name w:val="Document Map"/>
    <w:basedOn w:val="1"/>
    <w:link w:val="45"/>
    <w:semiHidden/>
    <w:unhideWhenUsed/>
    <w:qFormat/>
    <w:uiPriority w:val="99"/>
    <w:rPr>
      <w:rFonts w:ascii="宋体"/>
      <w:sz w:val="18"/>
      <w:szCs w:val="18"/>
    </w:rPr>
  </w:style>
  <w:style w:type="paragraph" w:styleId="8">
    <w:name w:val="annotation text"/>
    <w:basedOn w:val="1"/>
    <w:link w:val="27"/>
    <w:qFormat/>
    <w:uiPriority w:val="0"/>
  </w:style>
  <w:style w:type="paragraph" w:styleId="9">
    <w:name w:val="Body Text"/>
    <w:basedOn w:val="1"/>
    <w:qFormat/>
    <w:uiPriority w:val="0"/>
    <w:pPr>
      <w:spacing w:after="120"/>
    </w:pPr>
    <w:rPr>
      <w:rFonts w:ascii="Times" w:hAnsi="Times"/>
      <w:szCs w:val="24"/>
    </w:rPr>
  </w:style>
  <w:style w:type="paragraph" w:styleId="10">
    <w:name w:val="Balloon Text"/>
    <w:basedOn w:val="1"/>
    <w:link w:val="23"/>
    <w:semiHidden/>
    <w:unhideWhenUsed/>
    <w:qFormat/>
    <w:uiPriority w:val="99"/>
    <w:rPr>
      <w:sz w:val="18"/>
      <w:szCs w:val="18"/>
    </w:rPr>
  </w:style>
  <w:style w:type="paragraph" w:styleId="11">
    <w:name w:val="footer"/>
    <w:basedOn w:val="1"/>
    <w:link w:val="28"/>
    <w:semiHidden/>
    <w:unhideWhenUsed/>
    <w:qFormat/>
    <w:uiPriority w:val="99"/>
    <w:pPr>
      <w:tabs>
        <w:tab w:val="center" w:pos="4153"/>
        <w:tab w:val="right" w:pos="8306"/>
      </w:tabs>
      <w:snapToGrid w:val="0"/>
      <w:jc w:val="left"/>
    </w:pPr>
    <w:rPr>
      <w:sz w:val="18"/>
      <w:szCs w:val="18"/>
    </w:rPr>
  </w:style>
  <w:style w:type="paragraph" w:styleId="12">
    <w:name w:val="header"/>
    <w:basedOn w:val="1"/>
    <w:link w:val="29"/>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jc w:val="left"/>
    </w:pPr>
    <w:rPr>
      <w:b/>
      <w:bCs/>
      <w:i/>
      <w:iCs/>
      <w:sz w:val="20"/>
    </w:rPr>
  </w:style>
  <w:style w:type="paragraph" w:styleId="14">
    <w:name w:val="Normal (Web)"/>
    <w:basedOn w:val="1"/>
    <w:unhideWhenUsed/>
    <w:qFormat/>
    <w:uiPriority w:val="99"/>
    <w:pPr>
      <w:spacing w:beforeAutospacing="1" w:afterAutospacing="1"/>
      <w:jc w:val="left"/>
    </w:pPr>
    <w:rPr>
      <w:kern w:val="0"/>
      <w:sz w:val="24"/>
    </w:rPr>
  </w:style>
  <w:style w:type="paragraph" w:styleId="15">
    <w:name w:val="annotation subject"/>
    <w:basedOn w:val="8"/>
    <w:next w:val="8"/>
    <w:link w:val="35"/>
    <w:semiHidden/>
    <w:unhideWhenUsed/>
    <w:qFormat/>
    <w:uiPriority w:val="99"/>
    <w:pPr>
      <w:jc w:val="left"/>
    </w:pPr>
    <w:rPr>
      <w:b/>
      <w:bCs/>
    </w:rPr>
  </w:style>
  <w:style w:type="table" w:styleId="17">
    <w:name w:val="Table Grid"/>
    <w:basedOn w:val="1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basedOn w:val="18"/>
    <w:semiHidden/>
    <w:qFormat/>
    <w:uiPriority w:val="0"/>
  </w:style>
  <w:style w:type="character" w:styleId="21">
    <w:name w:val="Hyperlink"/>
    <w:basedOn w:val="18"/>
    <w:qFormat/>
    <w:uiPriority w:val="99"/>
    <w:rPr>
      <w:color w:val="0000FF"/>
      <w:u w:val="single"/>
    </w:rPr>
  </w:style>
  <w:style w:type="character" w:styleId="22">
    <w:name w:val="annotation reference"/>
    <w:qFormat/>
    <w:uiPriority w:val="0"/>
    <w:rPr>
      <w:sz w:val="16"/>
    </w:rPr>
  </w:style>
  <w:style w:type="character" w:customStyle="1" w:styleId="23">
    <w:name w:val="批注框文本 Char"/>
    <w:basedOn w:val="18"/>
    <w:link w:val="10"/>
    <w:semiHidden/>
    <w:qFormat/>
    <w:uiPriority w:val="99"/>
    <w:rPr>
      <w:rFonts w:ascii="Times New Roman" w:hAnsi="Times New Roman" w:eastAsia="宋体" w:cs="Times New Roman"/>
      <w:sz w:val="18"/>
      <w:szCs w:val="18"/>
    </w:rPr>
  </w:style>
  <w:style w:type="character" w:customStyle="1" w:styleId="24">
    <w:name w:val="标题 1 Char"/>
    <w:basedOn w:val="18"/>
    <w:link w:val="2"/>
    <w:qFormat/>
    <w:uiPriority w:val="0"/>
    <w:rPr>
      <w:rFonts w:ascii="Arial" w:hAnsi="Arial" w:eastAsia="MS Mincho" w:cs="Times New Roman"/>
      <w:sz w:val="32"/>
      <w:szCs w:val="20"/>
    </w:rPr>
  </w:style>
  <w:style w:type="character" w:customStyle="1" w:styleId="25">
    <w:name w:val="标题 2 Char"/>
    <w:basedOn w:val="18"/>
    <w:link w:val="3"/>
    <w:qFormat/>
    <w:uiPriority w:val="0"/>
    <w:rPr>
      <w:rFonts w:ascii="Arial" w:hAnsi="Arial" w:eastAsia="MS Mincho" w:cs="Times New Roman"/>
      <w:sz w:val="28"/>
      <w:szCs w:val="20"/>
    </w:rPr>
  </w:style>
  <w:style w:type="character" w:customStyle="1" w:styleId="26">
    <w:name w:val="标题 3 Char"/>
    <w:basedOn w:val="18"/>
    <w:link w:val="4"/>
    <w:qFormat/>
    <w:uiPriority w:val="0"/>
    <w:rPr>
      <w:rFonts w:ascii="Arial" w:hAnsi="Arial" w:eastAsia="MS Mincho" w:cs="Times New Roman"/>
      <w:sz w:val="24"/>
      <w:szCs w:val="20"/>
    </w:rPr>
  </w:style>
  <w:style w:type="character" w:customStyle="1" w:styleId="27">
    <w:name w:val="批注文字 Char"/>
    <w:basedOn w:val="18"/>
    <w:link w:val="8"/>
    <w:qFormat/>
    <w:uiPriority w:val="0"/>
    <w:rPr>
      <w:rFonts w:ascii="Times New Roman" w:hAnsi="Times New Roman" w:eastAsia="宋体" w:cs="Times New Roman"/>
      <w:szCs w:val="20"/>
    </w:rPr>
  </w:style>
  <w:style w:type="character" w:customStyle="1" w:styleId="28">
    <w:name w:val="页脚 Char"/>
    <w:basedOn w:val="18"/>
    <w:link w:val="11"/>
    <w:semiHidden/>
    <w:qFormat/>
    <w:uiPriority w:val="99"/>
    <w:rPr>
      <w:rFonts w:ascii="Times New Roman" w:hAnsi="Times New Roman" w:eastAsia="宋体" w:cs="Times New Roman"/>
      <w:sz w:val="18"/>
      <w:szCs w:val="18"/>
    </w:rPr>
  </w:style>
  <w:style w:type="character" w:customStyle="1" w:styleId="29">
    <w:name w:val="页眉 Char"/>
    <w:basedOn w:val="18"/>
    <w:link w:val="12"/>
    <w:semiHidden/>
    <w:qFormat/>
    <w:uiPriority w:val="0"/>
    <w:rPr>
      <w:rFonts w:ascii="Times New Roman" w:hAnsi="Times New Roman" w:eastAsia="宋体" w:cs="Times New Roman"/>
      <w:sz w:val="18"/>
      <w:szCs w:val="18"/>
    </w:rPr>
  </w:style>
  <w:style w:type="paragraph" w:customStyle="1" w:styleId="30">
    <w:name w:val="References"/>
    <w:basedOn w:val="1"/>
    <w:qFormat/>
    <w:uiPriority w:val="0"/>
    <w:pPr>
      <w:numPr>
        <w:ilvl w:val="0"/>
        <w:numId w:val="2"/>
      </w:numPr>
      <w:spacing w:after="60"/>
    </w:pPr>
    <w:rPr>
      <w:szCs w:val="16"/>
    </w:rPr>
  </w:style>
  <w:style w:type="paragraph" w:styleId="31">
    <w:name w:val="List Paragraph"/>
    <w:basedOn w:val="1"/>
    <w:link w:val="37"/>
    <w:qFormat/>
    <w:uiPriority w:val="34"/>
    <w:pPr>
      <w:spacing w:beforeLines="0"/>
      <w:ind w:left="720"/>
      <w:contextualSpacing/>
    </w:pPr>
    <w:rPr>
      <w:rFonts w:eastAsia="Times New Roman"/>
      <w:sz w:val="24"/>
      <w:szCs w:val="24"/>
    </w:rPr>
  </w:style>
  <w:style w:type="character" w:customStyle="1" w:styleId="32">
    <w:name w:val="font21"/>
    <w:basedOn w:val="18"/>
    <w:qFormat/>
    <w:uiPriority w:val="0"/>
    <w:rPr>
      <w:rFonts w:hint="default" w:ascii="Times New Roman" w:hAnsi="Times New Roman" w:cs="Times New Roman"/>
      <w:color w:val="000000"/>
      <w:sz w:val="20"/>
      <w:szCs w:val="20"/>
      <w:u w:val="none"/>
    </w:rPr>
  </w:style>
  <w:style w:type="character" w:customStyle="1" w:styleId="33">
    <w:name w:val="font11"/>
    <w:basedOn w:val="18"/>
    <w:qFormat/>
    <w:uiPriority w:val="0"/>
    <w:rPr>
      <w:rFonts w:hint="default" w:ascii="Symbol" w:hAnsi="Symbol" w:cs="Symbol"/>
      <w:b/>
      <w:color w:val="000000"/>
      <w:sz w:val="20"/>
      <w:szCs w:val="20"/>
      <w:u w:val="none"/>
    </w:rPr>
  </w:style>
  <w:style w:type="character" w:customStyle="1" w:styleId="34">
    <w:name w:val="font01"/>
    <w:basedOn w:val="18"/>
    <w:qFormat/>
    <w:uiPriority w:val="0"/>
    <w:rPr>
      <w:rFonts w:hint="default" w:ascii="Symbol" w:hAnsi="Symbol" w:cs="Symbol"/>
      <w:color w:val="000000"/>
      <w:sz w:val="20"/>
      <w:szCs w:val="20"/>
      <w:u w:val="none"/>
    </w:rPr>
  </w:style>
  <w:style w:type="character" w:customStyle="1" w:styleId="35">
    <w:name w:val="批注主题 Char"/>
    <w:basedOn w:val="27"/>
    <w:link w:val="15"/>
    <w:semiHidden/>
    <w:qFormat/>
    <w:uiPriority w:val="99"/>
    <w:rPr>
      <w:rFonts w:ascii="Times New Roman" w:hAnsi="Times New Roman" w:eastAsia="宋体" w:cs="Times New Roman"/>
      <w:b/>
      <w:bCs/>
      <w:kern w:val="2"/>
      <w:sz w:val="21"/>
      <w:szCs w:val="20"/>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7">
    <w:name w:val="列出段落 Char"/>
    <w:link w:val="31"/>
    <w:qFormat/>
    <w:uiPriority w:val="34"/>
    <w:rPr>
      <w:rFonts w:ascii="Times New Roman" w:hAnsi="Times New Roman" w:eastAsia="Times New Roman" w:cs="Times New Roman"/>
      <w:kern w:val="2"/>
      <w:sz w:val="24"/>
      <w:szCs w:val="24"/>
    </w:rPr>
  </w:style>
  <w:style w:type="character" w:styleId="38">
    <w:name w:val="Placeholder Text"/>
    <w:basedOn w:val="18"/>
    <w:unhideWhenUsed/>
    <w:qFormat/>
    <w:uiPriority w:val="99"/>
    <w:rPr>
      <w:color w:val="808080"/>
    </w:rPr>
  </w:style>
  <w:style w:type="paragraph" w:customStyle="1" w:styleId="39">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0">
    <w:name w:val="x_apple-converted-space"/>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pPr>
    <w:rPr>
      <w:rFonts w:ascii="Arial" w:hAnsi="Arial"/>
      <w:sz w:val="18"/>
    </w:rPr>
  </w:style>
  <w:style w:type="paragraph" w:customStyle="1" w:styleId="44">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5">
    <w:name w:val="文档结构图 Char"/>
    <w:basedOn w:val="18"/>
    <w:link w:val="7"/>
    <w:semiHidden/>
    <w:qFormat/>
    <w:uiPriority w:val="99"/>
    <w:rPr>
      <w:rFonts w:ascii="宋体"/>
      <w:kern w:val="2"/>
      <w:sz w:val="18"/>
      <w:szCs w:val="18"/>
    </w:rPr>
  </w:style>
  <w:style w:type="paragraph" w:customStyle="1" w:styleId="46">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7">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8">
    <w:name w:val="apple-converted-space"/>
    <w:basedOn w:val="18"/>
    <w:qFormat/>
    <w:uiPriority w:val="0"/>
  </w:style>
  <w:style w:type="paragraph" w:customStyle="1" w:styleId="49">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0">
    <w:name w:val="x_xmsonormal"/>
    <w:basedOn w:val="1"/>
    <w:qFormat/>
    <w:uiPriority w:val="0"/>
    <w:rPr>
      <w:rFonts w:ascii="宋体" w:hAnsi="宋体" w:cs="Calibri"/>
      <w:sz w:val="24"/>
    </w:rPr>
  </w:style>
  <w:style w:type="paragraph" w:customStyle="1" w:styleId="51">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2">
    <w:name w:val="3GPP Normal Text"/>
    <w:basedOn w:val="9"/>
    <w:qFormat/>
    <w:uiPriority w:val="0"/>
    <w:pPr>
      <w:spacing w:after="60"/>
    </w:pPr>
    <w:rPr>
      <w:rFonts w:ascii="Times New Roman" w:hAnsi="Times New Roman" w:eastAsia="MS Mincho"/>
    </w:rPr>
  </w:style>
  <w:style w:type="paragraph" w:customStyle="1" w:styleId="53">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54">
    <w:name w:val="YJ-Proposal"/>
    <w:basedOn w:val="1"/>
    <w:qFormat/>
    <w:uiPriority w:val="0"/>
    <w:pPr>
      <w:numPr>
        <w:ilvl w:val="0"/>
        <w:numId w:val="4"/>
      </w:numPr>
      <w:jc w:val="left"/>
    </w:pPr>
    <w:rPr>
      <w:rFonts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30.emf"/><Relationship Id="rId38" Type="http://schemas.openxmlformats.org/officeDocument/2006/relationships/image" Target="media/image29.emf"/><Relationship Id="rId37" Type="http://schemas.openxmlformats.org/officeDocument/2006/relationships/image" Target="media/image28.emf"/><Relationship Id="rId36" Type="http://schemas.openxmlformats.org/officeDocument/2006/relationships/image" Target="media/image27.emf"/><Relationship Id="rId35" Type="http://schemas.openxmlformats.org/officeDocument/2006/relationships/image" Target="media/image26.emf"/><Relationship Id="rId34" Type="http://schemas.openxmlformats.org/officeDocument/2006/relationships/image" Target="media/image25.emf"/><Relationship Id="rId33" Type="http://schemas.openxmlformats.org/officeDocument/2006/relationships/image" Target="media/image24.png"/><Relationship Id="rId32" Type="http://schemas.openxmlformats.org/officeDocument/2006/relationships/image" Target="media/image23.emf"/><Relationship Id="rId31" Type="http://schemas.openxmlformats.org/officeDocument/2006/relationships/image" Target="media/image22.emf"/><Relationship Id="rId30" Type="http://schemas.openxmlformats.org/officeDocument/2006/relationships/image" Target="media/image21.emf"/><Relationship Id="rId3" Type="http://schemas.openxmlformats.org/officeDocument/2006/relationships/header" Target="header1.xml"/><Relationship Id="rId29" Type="http://schemas.openxmlformats.org/officeDocument/2006/relationships/image" Target="media/image20.emf"/><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76BA7-19D0-4F6F-B146-301AEFD1E79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5520</Words>
  <Characters>31465</Characters>
  <Lines>262</Lines>
  <Paragraphs>73</Paragraphs>
  <TotalTime>80</TotalTime>
  <ScaleCrop>false</ScaleCrop>
  <LinksUpToDate>false</LinksUpToDate>
  <CharactersWithSpaces>36912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cp:lastModifiedBy>
  <dcterms:modified xsi:type="dcterms:W3CDTF">2022-11-07T13:05:03Z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